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 w:rsidRPr="0017192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>По случай 300 години от р</w:t>
      </w:r>
      <w:r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ождението на Паисий Хилендарски </w:t>
      </w:r>
      <w:r w:rsidRPr="00EA37F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>и</w:t>
      </w:r>
      <w:r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 </w:t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 w:rsidRPr="00EA37F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>30 години от създаването на Юридическия факултет</w:t>
      </w:r>
      <w:r w:rsidRPr="0017192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 на Пловдивския университет </w:t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                                  </w:t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 w:rsidRPr="00A410B4">
        <w:rPr>
          <w:rFonts w:ascii="Garamond" w:eastAsia="Garamond" w:hAnsi="Garamond" w:cs="Garamond"/>
          <w:i/>
          <w:noProof/>
          <w:color w:val="002060"/>
          <w:kern w:val="2"/>
          <w:sz w:val="28"/>
          <w:szCs w:val="28"/>
          <w:lang w:eastAsia="bg-BG"/>
        </w:rPr>
        <w:drawing>
          <wp:inline distT="0" distB="0" distL="0" distR="0">
            <wp:extent cx="1209040" cy="9531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</w:p>
    <w:p w:rsidR="003857C9" w:rsidRPr="002244D7" w:rsidRDefault="00FA233E" w:rsidP="002244D7">
      <w:pPr>
        <w:spacing w:after="0" w:line="240" w:lineRule="auto"/>
        <w:jc w:val="center"/>
        <w:rPr>
          <w:rFonts w:ascii="Garamond" w:eastAsia="Garamond" w:hAnsi="Garamond" w:cs="Garamond"/>
          <w:b/>
          <w:color w:val="4472C4"/>
          <w:kern w:val="2"/>
          <w:sz w:val="32"/>
          <w:szCs w:val="32"/>
          <w:lang w:val="ru-RU"/>
        </w:rPr>
      </w:pP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  <w:lang w:val="ru-RU"/>
        </w:rPr>
        <w:t>ПО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  <w:lang w:val="ru-RU"/>
        </w:rPr>
        <w:t>КАН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>А</w:t>
      </w: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 ЗА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 УЧАСТ</w:t>
      </w: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>И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Е </w:t>
      </w:r>
    </w:p>
    <w:p w:rsidR="00021AB2" w:rsidRPr="00FF18B2" w:rsidRDefault="00EA37FB" w:rsidP="003857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pacing w:val="20"/>
          <w:sz w:val="24"/>
          <w:szCs w:val="24"/>
        </w:rPr>
      </w:pP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в </w:t>
      </w:r>
      <w:r w:rsidR="003857C9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>н</w:t>
      </w:r>
      <w:r w:rsidR="00B030A5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аучн</w:t>
      </w:r>
      <w:r w:rsidR="006C0DFD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а</w:t>
      </w:r>
      <w:r w:rsidR="003857C9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та</w:t>
      </w:r>
      <w:r w:rsidR="00B030A5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 xml:space="preserve"> ко</w:t>
      </w:r>
      <w:r w:rsidR="006C0DFD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нференци</w:t>
      </w:r>
      <w:r w:rsidR="00165D90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я</w:t>
      </w:r>
    </w:p>
    <w:p w:rsidR="00E16A9F" w:rsidRPr="00FF18B2" w:rsidRDefault="006C0DFD" w:rsidP="00FB633F">
      <w:pPr>
        <w:pStyle w:val="Caption"/>
        <w:jc w:val="center"/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</w:pPr>
      <w:r w:rsidRPr="00FF18B2"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  <w:t>Правото в XXI век –</w:t>
      </w:r>
      <w:r w:rsidR="003857C9" w:rsidRPr="00FF18B2"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FF18B2"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  <w:t>предизвикателства и перспективи</w:t>
      </w:r>
    </w:p>
    <w:p w:rsidR="004E0DFD" w:rsidRPr="005A024F" w:rsidRDefault="005A024F" w:rsidP="005A024F">
      <w:pPr>
        <w:pStyle w:val="Default"/>
        <w:jc w:val="center"/>
        <w:rPr>
          <w:bCs/>
          <w:color w:val="244061" w:themeColor="accent1" w:themeShade="80"/>
          <w:lang w:val="bg-BG"/>
        </w:rPr>
      </w:pPr>
      <w:r w:rsidRPr="005A024F">
        <w:rPr>
          <w:bCs/>
          <w:color w:val="244061" w:themeColor="accent1" w:themeShade="80"/>
          <w:lang w:val="bg-BG"/>
        </w:rPr>
        <w:t>Пловдив, 13 и 14 октомври 2022 г.</w:t>
      </w:r>
    </w:p>
    <w:p w:rsidR="005A024F" w:rsidRPr="005A024F" w:rsidRDefault="005A024F" w:rsidP="005A024F">
      <w:pPr>
        <w:pStyle w:val="Default"/>
        <w:jc w:val="center"/>
        <w:rPr>
          <w:b/>
          <w:color w:val="244061" w:themeColor="accent1" w:themeShade="80"/>
          <w:lang w:val="bg-BG"/>
        </w:rPr>
      </w:pPr>
    </w:p>
    <w:p w:rsidR="00E16A9F" w:rsidRPr="00FF18B2" w:rsidRDefault="00B030A5" w:rsidP="00FA233E">
      <w:pPr>
        <w:spacing w:after="0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Уважаеми колеги,</w:t>
      </w:r>
    </w:p>
    <w:p w:rsidR="003857C9" w:rsidRPr="00FF18B2" w:rsidRDefault="003857C9" w:rsidP="00FA233E">
      <w:pPr>
        <w:spacing w:after="0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През</w:t>
      </w:r>
      <w:r w:rsidR="00B649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BE3B10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тази година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се навършват 30 години</w:t>
      </w:r>
      <w:r w:rsidR="00BE3B10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основаването на Юридически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я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факултет, който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утвърди като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ед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ин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водещите в страната образователни и научноизследователски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центрове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областта на правото. </w:t>
      </w:r>
    </w:p>
    <w:p w:rsidR="00B716AF" w:rsidRPr="00FF18B2" w:rsidRDefault="003857C9" w:rsidP="00FA233E">
      <w:pPr>
        <w:spacing w:after="0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</w:t>
      </w:r>
      <w:r w:rsidR="00AD489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кцент на конференция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</w:t>
      </w:r>
      <w:r w:rsidR="00AD489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са </w:t>
      </w:r>
      <w:r w:rsidR="00F81EC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поредица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</w:t>
      </w:r>
      <w:r w:rsidR="00F81EC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</w:t>
      </w:r>
      <w:r w:rsidR="00AD489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предизвикателства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 които се натъкваме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 изобилие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през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нашето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</w:t>
      </w:r>
      <w:r w:rsidR="00F81EC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ъвремие. </w:t>
      </w:r>
      <w:r w:rsidR="006F0E8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Свидетели сме на </w:t>
      </w:r>
      <w:r w:rsidR="00AF729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бурни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често изненадващи,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но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и същевременно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любопитни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събития,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които са последица от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многопластови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кризи</w:t>
      </w:r>
      <w:r w:rsidR="00B716AF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породени от пандемия, инфлация, война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пр</w:t>
      </w:r>
      <w:r w:rsidR="00926B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Те ч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увствително и повсеместно зас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я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гат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отношения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сферата на частното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публично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 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вътрешното 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 международ</w:t>
      </w:r>
      <w:r w:rsidR="00DF178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но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 право</w:t>
      </w:r>
      <w:r w:rsidR="00926B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C939D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</w:t>
      </w:r>
      <w:r w:rsidR="00ED352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одлагат 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се </w:t>
      </w:r>
      <w:r w:rsidR="00ED352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изпитани</w:t>
      </w:r>
      <w:r w:rsidR="00ED352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F15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общочовешки ценности като свобода, мир, хуманизъм, равенство, справедливост и търпимост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Това пък предизвиква въпроса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за преоценка на 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отдавна утвърдени правни институции и правила. </w:t>
      </w:r>
    </w:p>
    <w:p w:rsidR="005B3211" w:rsidRPr="00FF18B2" w:rsidRDefault="00B02039" w:rsidP="00FA233E">
      <w:pPr>
        <w:spacing w:after="0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Водени от мъдростта на древногръцкия философ Платон, че </w:t>
      </w:r>
      <w:r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това, което се осъществява в неограничени размери, обикновено се подлага на голяма промяна в противоположното</w:t>
      </w:r>
      <w:r w:rsidR="00B4418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EC6C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все по-ясно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се </w:t>
      </w:r>
      <w:r w:rsidR="00EC6C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осъзнава</w:t>
      </w:r>
      <w:r w:rsidR="0041391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B77EC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</w:t>
      </w:r>
      <w:r w:rsidR="0059676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уждата</w:t>
      </w:r>
      <w:r w:rsidR="00B77EC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</w:t>
      </w:r>
      <w:r w:rsidR="0059676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справедливи решения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с оглед на установяване на известна стабилност. Тази стабилност е немислима без </w:t>
      </w:r>
      <w:r w:rsidR="00A215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опазване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</w:t>
      </w:r>
      <w:r w:rsidR="00A215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 общо споделяни ценности</w:t>
      </w:r>
      <w:r w:rsidR="00050CA8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DB37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Като тържество на справедливостта, п</w:t>
      </w:r>
      <w:r w:rsidR="007A61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равото </w:t>
      </w:r>
      <w:r w:rsidR="00DB37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призвано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да бъде инструмент за </w:t>
      </w:r>
      <w:r w:rsidR="007A61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разрешава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не на</w:t>
      </w:r>
      <w:r w:rsidR="007A61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конфликти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Как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действителност ги решава то днес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de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lege</w:t>
      </w:r>
      <w:proofErr w:type="spellEnd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lata</w:t>
      </w:r>
      <w:proofErr w:type="spellEnd"/>
      <w:r w:rsidR="002B4ECB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)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дали може да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ги реши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по-добре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утре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de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lege</w:t>
      </w:r>
      <w:proofErr w:type="spellEnd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ferenda</w:t>
      </w:r>
      <w:proofErr w:type="spellEnd"/>
      <w:r w:rsidR="002B4ECB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)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,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е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един от аспектите на дискусията, кой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то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може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да се развие на конференцията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</w:p>
    <w:p w:rsidR="00E16A9F" w:rsidRPr="00FF18B2" w:rsidRDefault="003E22E6" w:rsidP="00FA233E">
      <w:pPr>
        <w:keepNext/>
        <w:spacing w:after="0"/>
        <w:ind w:firstLine="642"/>
        <w:jc w:val="both"/>
        <w:outlineLvl w:val="2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/>
          <w:color w:val="244061" w:themeColor="accent1" w:themeShade="80"/>
          <w:sz w:val="24"/>
          <w:szCs w:val="24"/>
        </w:rPr>
        <w:t>Форумът е открит за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разискването на 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разнообразна юридическа проблематика и изразяване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то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на аргументирани гледни точки. 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</w:rPr>
        <w:t>Добре дошли са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доклади </w:t>
      </w:r>
      <w:r w:rsidR="00B030A5" w:rsidRPr="00FF18B2">
        <w:rPr>
          <w:rFonts w:ascii="Times New Roman" w:hAnsi="Times New Roman"/>
          <w:bCs/>
          <w:color w:val="244061" w:themeColor="accent1" w:themeShade="80"/>
          <w:sz w:val="24"/>
          <w:szCs w:val="24"/>
          <w:shd w:val="clear" w:color="auto" w:fill="FFFFFF"/>
        </w:rPr>
        <w:t>от всички области на правото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, както и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интердисциплинарни изследвания</w:t>
      </w:r>
      <w:r w:rsidR="00622A20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с правно </w:t>
      </w:r>
      <w:r w:rsidR="00622A20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значение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.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Материалът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не трябва да е предлаган в друга редакция или да е публикуван.</w:t>
      </w:r>
    </w:p>
    <w:p w:rsidR="00E16A9F" w:rsidRPr="00FF18B2" w:rsidRDefault="00B030A5" w:rsidP="00FA233E">
      <w:pPr>
        <w:spacing w:after="0"/>
        <w:ind w:firstLine="709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Ще се радваме да се включите в организиран</w:t>
      </w:r>
      <w:r w:rsidR="00695DDF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ата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от нас науч</w:t>
      </w:r>
      <w:r w:rsidR="00695DDF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на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</w:t>
      </w:r>
      <w:r w:rsidR="00695DDF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нференция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, ко</w:t>
      </w:r>
      <w:r w:rsidR="0006043A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я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то ще се проведе на</w:t>
      </w:r>
      <w:r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06043A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13 и 14 </w:t>
      </w:r>
      <w:r w:rsidR="00EA37FB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октомври (четвъртък и петък)</w:t>
      </w:r>
      <w:r w:rsidR="0006043A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, 2022 г. в Пловдив, </w:t>
      </w:r>
      <w:r w:rsidR="0006043A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с възможност за онлайн участие.</w:t>
      </w:r>
      <w:r w:rsidR="006275DE" w:rsidRPr="00FF18B2">
        <w:rPr>
          <w:color w:val="244061" w:themeColor="accent1" w:themeShade="80"/>
          <w:sz w:val="24"/>
          <w:szCs w:val="24"/>
        </w:rPr>
        <w:t xml:space="preserve">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За участие в конференцията </w:t>
      </w:r>
      <w:r w:rsidR="000644D5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резюме и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попълнената регистрационна форма сл</w:t>
      </w:r>
      <w:r w:rsidR="000644D5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едва да бъдат изпратени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на адрес </w:t>
      </w:r>
      <w:r w:rsidR="006275DE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forums_law@uni-plovdiv.bg</w:t>
      </w:r>
      <w:r w:rsidR="006275DE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="006275DE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до 29 септември 2022 г.</w:t>
      </w:r>
    </w:p>
    <w:p w:rsidR="00E16A9F" w:rsidRPr="00FF18B2" w:rsidRDefault="00B030A5" w:rsidP="00FA233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ab/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Докладите, представени на конференцията и оформени съобразно приложените изисквания, молим да се изпращат на същия е-адрес </w:t>
      </w:r>
      <w:r w:rsidR="006275DE" w:rsidRPr="00FF18B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до 15 декември 2022 г.</w:t>
      </w:r>
      <w:r w:rsidR="006275D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 тема </w:t>
      </w:r>
      <w:r w:rsidR="006275DE" w:rsidRPr="00FF18B2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Конференция</w:t>
      </w:r>
      <w:r w:rsidR="005A024F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30</w:t>
      </w:r>
      <w:r w:rsidR="006275D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275DE" w:rsidRPr="00FF18B2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="006275D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Те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ще бъдат публикувани в научнорецензирано издание.</w:t>
      </w:r>
    </w:p>
    <w:p w:rsidR="00047463" w:rsidRPr="00FF18B2" w:rsidRDefault="00047463" w:rsidP="000474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</w:p>
    <w:p w:rsidR="00047463" w:rsidRPr="00FF18B2" w:rsidRDefault="00047463" w:rsidP="000474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FF18B2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Пловдив, май 2022 г. </w:t>
      </w:r>
    </w:p>
    <w:p w:rsidR="00E16A9F" w:rsidRDefault="00E16A9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2B" w:rsidRPr="0017192B" w:rsidRDefault="0017192B" w:rsidP="0017192B">
      <w:pPr>
        <w:spacing w:after="0" w:line="360" w:lineRule="auto"/>
        <w:jc w:val="center"/>
        <w:rPr>
          <w:rFonts w:ascii="Times New Roman" w:hAnsi="Times New Roman" w:cs="Mangal"/>
          <w:b/>
          <w:color w:val="002060"/>
          <w:kern w:val="2"/>
          <w:sz w:val="28"/>
          <w:szCs w:val="28"/>
        </w:rPr>
      </w:pPr>
      <w:r w:rsidRPr="0017192B">
        <w:rPr>
          <w:rFonts w:ascii="Times New Roman" w:hAnsi="Times New Roman" w:cs="Mangal"/>
          <w:b/>
          <w:color w:val="002060"/>
          <w:kern w:val="2"/>
          <w:sz w:val="28"/>
          <w:szCs w:val="28"/>
        </w:rPr>
        <w:t>Очакваме Ви!</w:t>
      </w:r>
    </w:p>
    <w:p w:rsidR="0017192B" w:rsidRPr="0017192B" w:rsidRDefault="0017192B" w:rsidP="0017192B">
      <w:pPr>
        <w:spacing w:after="0" w:line="240" w:lineRule="auto"/>
        <w:jc w:val="both"/>
        <w:rPr>
          <w:rFonts w:ascii="Times New Roman" w:hAnsi="Times New Roman" w:cs="Mangal"/>
          <w:kern w:val="2"/>
          <w:sz w:val="20"/>
          <w:szCs w:val="18"/>
        </w:rPr>
      </w:pPr>
    </w:p>
    <w:p w:rsidR="0017192B" w:rsidRPr="0017192B" w:rsidRDefault="0017192B" w:rsidP="00FA233E">
      <w:pPr>
        <w:spacing w:after="0"/>
        <w:ind w:firstLine="708"/>
        <w:jc w:val="both"/>
        <w:rPr>
          <w:rFonts w:ascii="Times New Roman" w:hAnsi="Times New Roman" w:cs="Mangal"/>
          <w:b/>
          <w:color w:val="002060"/>
          <w:kern w:val="2"/>
          <w:sz w:val="24"/>
          <w:szCs w:val="24"/>
        </w:rPr>
      </w:pPr>
      <w:r w:rsidRPr="0017192B">
        <w:rPr>
          <w:rFonts w:ascii="Times New Roman" w:hAnsi="Times New Roman" w:cs="Mangal"/>
          <w:b/>
          <w:color w:val="002060"/>
          <w:kern w:val="2"/>
          <w:sz w:val="24"/>
          <w:szCs w:val="24"/>
        </w:rPr>
        <w:t xml:space="preserve">Организационен комитет </w:t>
      </w:r>
    </w:p>
    <w:p w:rsidR="0017192B" w:rsidRPr="0017192B" w:rsidRDefault="0017192B" w:rsidP="00FA233E">
      <w:pPr>
        <w:spacing w:after="0"/>
        <w:ind w:firstLine="708"/>
        <w:jc w:val="both"/>
        <w:rPr>
          <w:rFonts w:ascii="Times New Roman" w:hAnsi="Times New Roman" w:cs="Mangal"/>
          <w:color w:val="002060"/>
          <w:kern w:val="2"/>
          <w:sz w:val="24"/>
          <w:szCs w:val="24"/>
          <w:lang w:val="en-US"/>
        </w:rPr>
      </w:pP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проф. д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.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ю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.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н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.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 Малина Новкиришка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проф. д-р </w:t>
      </w:r>
      <w:r>
        <w:rPr>
          <w:rFonts w:ascii="Times New Roman" w:hAnsi="Times New Roman" w:cs="Mangal"/>
          <w:color w:val="002060"/>
          <w:kern w:val="2"/>
          <w:sz w:val="24"/>
          <w:szCs w:val="24"/>
        </w:rPr>
        <w:t>Дарина Зинови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ева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проф. д-р Григор Григоров, 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доц. д-р Даниела Дончева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доц. д-р </w:t>
      </w:r>
      <w:r w:rsidR="00FA233E">
        <w:rPr>
          <w:rFonts w:ascii="Times New Roman" w:hAnsi="Times New Roman" w:cs="Mangal"/>
          <w:color w:val="002060"/>
          <w:kern w:val="2"/>
          <w:sz w:val="24"/>
          <w:szCs w:val="24"/>
        </w:rPr>
        <w:t>Христо Пау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нов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доц. д-р Ангел Шопов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гл. ас. д-р Жана Колева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гл. ас. д</w:t>
      </w:r>
      <w:bookmarkStart w:id="0" w:name="_GoBack"/>
      <w:bookmarkEnd w:id="0"/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-р Недялко Петров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  <w:shd w:val="clear" w:color="auto" w:fill="FFFFFF"/>
        </w:rPr>
        <w:t xml:space="preserve"> </w:t>
      </w:r>
      <w:r w:rsidR="00A730D6"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гл. ас. д-р Ваня Тодорова</w:t>
      </w:r>
      <w:r w:rsidR="00A730D6"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, ас.</w:t>
      </w:r>
      <w:r w:rsidR="00A961AA"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 д-р</w:t>
      </w:r>
      <w:r w:rsidR="00A730D6"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 Ваня Митева, ас. </w:t>
      </w:r>
      <w:r w:rsidR="00A730D6" w:rsidRPr="000C6E8C">
        <w:rPr>
          <w:rFonts w:ascii="Times New Roman" w:hAnsi="Times New Roman" w:cs="Mangal"/>
          <w:color w:val="002060"/>
          <w:kern w:val="2"/>
          <w:sz w:val="24"/>
          <w:szCs w:val="24"/>
          <w:lang w:val="ru-RU"/>
        </w:rPr>
        <w:t xml:space="preserve">Кристиян Райчев,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докт. Кирил Илчев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  <w:lang w:val="ru-RU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докт. Петър Янев</w:t>
      </w: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sectPr w:rsidR="00E16A9F" w:rsidSect="0096673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D2" w:rsidRDefault="00456AD2">
      <w:pPr>
        <w:spacing w:after="0" w:line="240" w:lineRule="auto"/>
      </w:pPr>
      <w:r>
        <w:separator/>
      </w:r>
    </w:p>
  </w:endnote>
  <w:endnote w:type="continuationSeparator" w:id="0">
    <w:p w:rsidR="00456AD2" w:rsidRDefault="004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D2" w:rsidRDefault="00456AD2">
      <w:pPr>
        <w:spacing w:after="0" w:line="240" w:lineRule="auto"/>
      </w:pPr>
      <w:r>
        <w:separator/>
      </w:r>
    </w:p>
  </w:footnote>
  <w:footnote w:type="continuationSeparator" w:id="0">
    <w:p w:rsidR="00456AD2" w:rsidRDefault="0045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3E" w:rsidRPr="00FA233E" w:rsidRDefault="00FA233E" w:rsidP="00FA233E">
    <w:pPr>
      <w:pStyle w:val="Header"/>
      <w:jc w:val="center"/>
      <w:rPr>
        <w:rFonts w:ascii="Times New Roman" w:hAnsi="Times New Roman" w:cs="Times New Roman"/>
        <w:b/>
        <w:i/>
        <w:iCs/>
        <w:color w:val="000000"/>
        <w:sz w:val="20"/>
        <w:szCs w:val="20"/>
      </w:rPr>
    </w:pPr>
    <w:r w:rsidRPr="00FA233E">
      <w:rPr>
        <w:rFonts w:ascii="Times New Roman" w:hAnsi="Times New Roman" w:cs="Times New Roman"/>
        <w:b/>
        <w:i/>
        <w:iCs/>
        <w:color w:val="000000"/>
        <w:sz w:val="20"/>
        <w:szCs w:val="20"/>
      </w:rPr>
      <w:t>Правото в XXI век – предизвикателства и перспективи</w:t>
    </w:r>
  </w:p>
  <w:p w:rsidR="00E16A9F" w:rsidRDefault="00E16A9F">
    <w:pPr>
      <w:pStyle w:val="Header"/>
      <w:jc w:val="right"/>
      <w:rPr>
        <w:rFonts w:ascii="Brush Script MT" w:hAnsi="Brush Script MT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9F"/>
    <w:rsid w:val="00002B11"/>
    <w:rsid w:val="00021AB2"/>
    <w:rsid w:val="00026B68"/>
    <w:rsid w:val="00047463"/>
    <w:rsid w:val="00050CA8"/>
    <w:rsid w:val="0006043A"/>
    <w:rsid w:val="000644D5"/>
    <w:rsid w:val="000B3B86"/>
    <w:rsid w:val="000B5134"/>
    <w:rsid w:val="000C1878"/>
    <w:rsid w:val="000C6E8C"/>
    <w:rsid w:val="00101E33"/>
    <w:rsid w:val="00105294"/>
    <w:rsid w:val="0014785E"/>
    <w:rsid w:val="00165D90"/>
    <w:rsid w:val="0017192B"/>
    <w:rsid w:val="00190751"/>
    <w:rsid w:val="00222A82"/>
    <w:rsid w:val="002244D7"/>
    <w:rsid w:val="00256616"/>
    <w:rsid w:val="002623B0"/>
    <w:rsid w:val="00267B73"/>
    <w:rsid w:val="00275B87"/>
    <w:rsid w:val="002A3733"/>
    <w:rsid w:val="002B0C15"/>
    <w:rsid w:val="002B4ECB"/>
    <w:rsid w:val="00327D72"/>
    <w:rsid w:val="00353728"/>
    <w:rsid w:val="003857C9"/>
    <w:rsid w:val="003A0660"/>
    <w:rsid w:val="003C51FC"/>
    <w:rsid w:val="003D18AE"/>
    <w:rsid w:val="003E22E6"/>
    <w:rsid w:val="00413913"/>
    <w:rsid w:val="00416D10"/>
    <w:rsid w:val="004237A4"/>
    <w:rsid w:val="00430F31"/>
    <w:rsid w:val="00456AD2"/>
    <w:rsid w:val="00460505"/>
    <w:rsid w:val="004641DE"/>
    <w:rsid w:val="004E0DFD"/>
    <w:rsid w:val="00504F30"/>
    <w:rsid w:val="00534327"/>
    <w:rsid w:val="00596766"/>
    <w:rsid w:val="005A024F"/>
    <w:rsid w:val="005A1480"/>
    <w:rsid w:val="005B3211"/>
    <w:rsid w:val="00622A20"/>
    <w:rsid w:val="006275DE"/>
    <w:rsid w:val="00695DDF"/>
    <w:rsid w:val="006C0DFD"/>
    <w:rsid w:val="006D6A9B"/>
    <w:rsid w:val="006F0E89"/>
    <w:rsid w:val="006F1E10"/>
    <w:rsid w:val="00746ED3"/>
    <w:rsid w:val="007A617C"/>
    <w:rsid w:val="007E32F3"/>
    <w:rsid w:val="00870839"/>
    <w:rsid w:val="008E037E"/>
    <w:rsid w:val="009024E6"/>
    <w:rsid w:val="00906109"/>
    <w:rsid w:val="00926BE6"/>
    <w:rsid w:val="009649BA"/>
    <w:rsid w:val="00966732"/>
    <w:rsid w:val="009F6B76"/>
    <w:rsid w:val="00A215CB"/>
    <w:rsid w:val="00A410B4"/>
    <w:rsid w:val="00A730D6"/>
    <w:rsid w:val="00A76FF2"/>
    <w:rsid w:val="00A8084B"/>
    <w:rsid w:val="00A961AA"/>
    <w:rsid w:val="00AD4893"/>
    <w:rsid w:val="00AD5AA3"/>
    <w:rsid w:val="00AE79F4"/>
    <w:rsid w:val="00AF729C"/>
    <w:rsid w:val="00B02039"/>
    <w:rsid w:val="00B030A5"/>
    <w:rsid w:val="00B4040C"/>
    <w:rsid w:val="00B44182"/>
    <w:rsid w:val="00B50777"/>
    <w:rsid w:val="00B5609C"/>
    <w:rsid w:val="00B649CB"/>
    <w:rsid w:val="00B716AF"/>
    <w:rsid w:val="00B77ECA"/>
    <w:rsid w:val="00BE3B10"/>
    <w:rsid w:val="00C54A00"/>
    <w:rsid w:val="00C77203"/>
    <w:rsid w:val="00C939D6"/>
    <w:rsid w:val="00D34B32"/>
    <w:rsid w:val="00D40863"/>
    <w:rsid w:val="00DB3711"/>
    <w:rsid w:val="00DB55E0"/>
    <w:rsid w:val="00DE0C22"/>
    <w:rsid w:val="00DF1784"/>
    <w:rsid w:val="00E06F05"/>
    <w:rsid w:val="00E10392"/>
    <w:rsid w:val="00E1268B"/>
    <w:rsid w:val="00E16A9F"/>
    <w:rsid w:val="00E43552"/>
    <w:rsid w:val="00E679A6"/>
    <w:rsid w:val="00E763EF"/>
    <w:rsid w:val="00EA37FB"/>
    <w:rsid w:val="00EB6F15"/>
    <w:rsid w:val="00EC6C7C"/>
    <w:rsid w:val="00ED3529"/>
    <w:rsid w:val="00F10F71"/>
    <w:rsid w:val="00F231E1"/>
    <w:rsid w:val="00F41957"/>
    <w:rsid w:val="00F474BF"/>
    <w:rsid w:val="00F54ABA"/>
    <w:rsid w:val="00F67B6E"/>
    <w:rsid w:val="00F81EC4"/>
    <w:rsid w:val="00FA233E"/>
    <w:rsid w:val="00FB633F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30C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70620"/>
  </w:style>
  <w:style w:type="character" w:customStyle="1" w:styleId="FooterChar">
    <w:name w:val="Footer Char"/>
    <w:basedOn w:val="DefaultParagraphFont"/>
    <w:link w:val="Footer"/>
    <w:uiPriority w:val="99"/>
    <w:qFormat/>
    <w:rsid w:val="00D70620"/>
  </w:style>
  <w:style w:type="paragraph" w:customStyle="1" w:styleId="Heading">
    <w:name w:val="Heading"/>
    <w:basedOn w:val="Normal"/>
    <w:next w:val="BodyText"/>
    <w:qFormat/>
    <w:rsid w:val="009667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66732"/>
    <w:pPr>
      <w:spacing w:after="140"/>
    </w:pPr>
  </w:style>
  <w:style w:type="paragraph" w:styleId="List">
    <w:name w:val="List"/>
    <w:basedOn w:val="BodyText"/>
    <w:rsid w:val="00966732"/>
    <w:rPr>
      <w:rFonts w:cs="Arial"/>
    </w:rPr>
  </w:style>
  <w:style w:type="paragraph" w:styleId="Caption">
    <w:name w:val="caption"/>
    <w:basedOn w:val="Normal"/>
    <w:qFormat/>
    <w:rsid w:val="009667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66732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B30C9"/>
  </w:style>
  <w:style w:type="paragraph" w:customStyle="1" w:styleId="Default">
    <w:name w:val="Default"/>
    <w:qFormat/>
    <w:rsid w:val="001B30C9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30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620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70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3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AngelShopov</dc:creator>
  <dc:description/>
  <cp:lastModifiedBy>AngelShopov</cp:lastModifiedBy>
  <cp:revision>18</cp:revision>
  <cp:lastPrinted>2022-05-30T16:23:00Z</cp:lastPrinted>
  <dcterms:created xsi:type="dcterms:W3CDTF">2022-04-28T21:49:00Z</dcterms:created>
  <dcterms:modified xsi:type="dcterms:W3CDTF">2022-06-02T13:54:00Z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