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EC6B" w14:textId="77777777" w:rsidR="003B7C2C" w:rsidRDefault="0015042C">
      <w:pPr>
        <w:pStyle w:val="10"/>
        <w:keepNext/>
        <w:keepLines/>
      </w:pPr>
      <w:bookmarkStart w:id="0" w:name="bookmark2"/>
      <w:r>
        <w:rPr>
          <w:rStyle w:val="1"/>
          <w:b/>
        </w:rPr>
        <w:t>Указания за национални граждански панели в контекста на Конференцията за бъдещето на Европа</w:t>
      </w:r>
      <w:bookmarkEnd w:id="0"/>
    </w:p>
    <w:p w14:paraId="3EE37C3E" w14:textId="77777777" w:rsidR="003B7C2C" w:rsidRDefault="0015042C">
      <w:pPr>
        <w:pStyle w:val="a2"/>
        <w:spacing w:after="140" w:line="257" w:lineRule="auto"/>
        <w:ind w:firstLine="0"/>
        <w:jc w:val="both"/>
      </w:pPr>
      <w:r>
        <w:rPr>
          <w:rStyle w:val="a1"/>
        </w:rPr>
        <w:t>В Съвместната декларация относно Конференцията за бъдещото на Европа е предвидено организирането на европейски граждански панели. В допълнение, съгласно Съвместната декларация: „</w:t>
      </w:r>
      <w:r>
        <w:rPr>
          <w:rStyle w:val="a1"/>
          <w:i/>
          <w:iCs/>
        </w:rPr>
        <w:t>Всяка държава членка и институция може да организира допълнителни прояви в зав</w:t>
      </w:r>
      <w:r>
        <w:rPr>
          <w:rStyle w:val="a1"/>
          <w:i/>
          <w:iCs/>
        </w:rPr>
        <w:t>исимост от националните или институционалните си характеристики и да допринесе за конференцията по други начини, например чрез национални граждански панели или тематични събития, на които се обсъждат събраните от различните панели мнения.</w:t>
      </w:r>
      <w:r>
        <w:rPr>
          <w:rStyle w:val="a1"/>
        </w:rPr>
        <w:t xml:space="preserve">“  В </w:t>
      </w:r>
      <w:r>
        <w:rPr>
          <w:rStyle w:val="a1"/>
          <w:i/>
          <w:iCs/>
        </w:rPr>
        <w:t>Съвместната д</w:t>
      </w:r>
      <w:r>
        <w:rPr>
          <w:rStyle w:val="a1"/>
          <w:i/>
          <w:iCs/>
        </w:rPr>
        <w:t>екларация</w:t>
      </w:r>
      <w:r>
        <w:rPr>
          <w:rStyle w:val="a1"/>
        </w:rPr>
        <w:t xml:space="preserve"> се посочва, че „</w:t>
      </w:r>
      <w:r>
        <w:rPr>
          <w:rStyle w:val="a1"/>
          <w:i/>
          <w:iCs/>
        </w:rPr>
        <w:t>Събитията на национално и европейско ниво в рамките на конференцията ще бъдат организирани според набор от принципи и минимални критерии в съответствие с ценностите на ЕС, който ще бъде определен от структурите на конференцията.</w:t>
      </w:r>
      <w:r>
        <w:rPr>
          <w:rStyle w:val="a1"/>
        </w:rPr>
        <w:t>“</w:t>
      </w:r>
    </w:p>
    <w:p w14:paraId="38223948" w14:textId="77777777" w:rsidR="003B7C2C" w:rsidRDefault="0015042C">
      <w:pPr>
        <w:pStyle w:val="a2"/>
        <w:spacing w:after="140" w:line="254" w:lineRule="auto"/>
        <w:ind w:firstLine="0"/>
        <w:jc w:val="both"/>
      </w:pPr>
      <w:r>
        <w:rPr>
          <w:rStyle w:val="a1"/>
        </w:rPr>
        <w:t>В този контекст организаторите на събития следва да приемат Хартата на конференцията, а участниците трябва да я съблюдават.</w:t>
      </w:r>
    </w:p>
    <w:p w14:paraId="13FC4212" w14:textId="2BB2D8C4" w:rsidR="003B7C2C" w:rsidRDefault="0015042C">
      <w:pPr>
        <w:pStyle w:val="a2"/>
        <w:spacing w:after="140" w:line="257" w:lineRule="auto"/>
        <w:ind w:firstLine="0"/>
        <w:jc w:val="both"/>
      </w:pPr>
      <w:r>
        <w:rPr>
          <w:rStyle w:val="a1"/>
        </w:rPr>
        <w:t>Указанията</w:t>
      </w:r>
      <w:r>
        <w:rPr>
          <w:rStyle w:val="a1"/>
        </w:rPr>
        <w:t xml:space="preserve">, описани </w:t>
      </w:r>
      <w:r>
        <w:rPr>
          <w:rStyle w:val="a1"/>
        </w:rPr>
        <w:t>по-долу</w:t>
      </w:r>
      <w:r>
        <w:rPr>
          <w:rStyle w:val="a1"/>
        </w:rPr>
        <w:t>,</w:t>
      </w:r>
      <w:r>
        <w:rPr>
          <w:rStyle w:val="a1"/>
        </w:rPr>
        <w:t xml:space="preserve"> са вдъхновени от принципите за добро разискване, </w:t>
      </w:r>
      <w:r>
        <w:rPr>
          <w:rStyle w:val="a1"/>
        </w:rPr>
        <w:t xml:space="preserve">по-специално </w:t>
      </w:r>
      <w:r>
        <w:rPr>
          <w:rStyle w:val="a1"/>
        </w:rPr>
        <w:t xml:space="preserve">дефинирани в </w:t>
      </w:r>
      <w:hyperlink r:id="rId7" w:history="1">
        <w:r>
          <w:rPr>
            <w:rStyle w:val="a1"/>
          </w:rPr>
          <w:t xml:space="preserve">ОИСР </w:t>
        </w:r>
      </w:hyperlink>
      <w:r>
        <w:rPr>
          <w:rStyle w:val="a1"/>
        </w:rPr>
        <w:t>доклад</w:t>
      </w:r>
      <w:r>
        <w:rPr>
          <w:rStyle w:val="a1"/>
        </w:rPr>
        <w:t xml:space="preserve">, </w:t>
      </w:r>
      <w:r>
        <w:rPr>
          <w:rStyle w:val="a1"/>
        </w:rPr>
        <w:t>в</w:t>
      </w:r>
      <w:r>
        <w:rPr>
          <w:rStyle w:val="a1"/>
        </w:rPr>
        <w:t xml:space="preserve"> който </w:t>
      </w:r>
      <w:r>
        <w:rPr>
          <w:rStyle w:val="a1"/>
        </w:rPr>
        <w:t>са</w:t>
      </w:r>
      <w:r>
        <w:rPr>
          <w:rStyle w:val="a1"/>
        </w:rPr>
        <w:t xml:space="preserve"> </w:t>
      </w:r>
      <w:r>
        <w:rPr>
          <w:rStyle w:val="a1"/>
        </w:rPr>
        <w:t xml:space="preserve"> преглед</w:t>
      </w:r>
      <w:r>
        <w:rPr>
          <w:rStyle w:val="a1"/>
        </w:rPr>
        <w:t>ани</w:t>
      </w:r>
      <w:r>
        <w:rPr>
          <w:rStyle w:val="a1"/>
        </w:rPr>
        <w:t xml:space="preserve"> </w:t>
      </w:r>
      <w:r>
        <w:rPr>
          <w:rStyle w:val="a1"/>
        </w:rPr>
        <w:t xml:space="preserve"> стотици казуси с процеси на разискване</w:t>
      </w:r>
      <w:hyperlink w:anchor="bookmark0" w:tooltip="Настоящ документ">
        <w:r>
          <w:rPr>
            <w:rStyle w:val="a1"/>
            <w:vertAlign w:val="superscript"/>
          </w:rPr>
          <w:footnoteReference w:id="1"/>
        </w:r>
        <w:r>
          <w:rPr>
            <w:rStyle w:val="a1"/>
          </w:rPr>
          <w:t xml:space="preserve"> </w:t>
        </w:r>
      </w:hyperlink>
      <w:r>
        <w:rPr>
          <w:rStyle w:val="a1"/>
        </w:rPr>
        <w:t>и</w:t>
      </w:r>
      <w:r>
        <w:rPr>
          <w:rStyle w:val="a1"/>
        </w:rPr>
        <w:t>,</w:t>
      </w:r>
      <w:r>
        <w:rPr>
          <w:rStyle w:val="a1"/>
        </w:rPr>
        <w:t xml:space="preserve"> който има за цел да помогне на държавите членки, които възнамеряват да организират граждански панели на национално, регионално или местно ниво.</w:t>
      </w:r>
    </w:p>
    <w:p w14:paraId="4F7F67E2" w14:textId="0732B11F" w:rsidR="003B7C2C" w:rsidRDefault="0015042C">
      <w:pPr>
        <w:pStyle w:val="a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380" w:line="240" w:lineRule="auto"/>
        <w:ind w:firstLine="0"/>
        <w:jc w:val="both"/>
      </w:pPr>
      <w:r w:rsidRPr="00CD3955">
        <w:rPr>
          <w:rStyle w:val="a1"/>
          <w:sz w:val="20"/>
          <w:szCs w:val="20"/>
        </w:rPr>
        <w:t>Забележка: Национални събития, различни от граждански панели, следва да</w:t>
      </w:r>
      <w:r w:rsidRPr="00CD3955">
        <w:rPr>
          <w:rStyle w:val="a1"/>
          <w:sz w:val="20"/>
          <w:szCs w:val="20"/>
        </w:rPr>
        <w:t xml:space="preserve"> се организират в съответствие с целта и принципите на конференцията по открит, прозрачен и приобщаващ начин. Конкретни указания за това как да се организират такива събития има на разположение под формата на ръководства на многоезичната дигитална платформ</w:t>
      </w:r>
      <w:r w:rsidRPr="00CD3955">
        <w:rPr>
          <w:rStyle w:val="a1"/>
          <w:sz w:val="20"/>
          <w:szCs w:val="20"/>
        </w:rPr>
        <w:t>а и по-специално Ръководството стъпка по стъпка за организаторите на прояви</w:t>
      </w:r>
      <w:hyperlink w:anchor="bookmark1" w:tooltip="Настоящ документ">
        <w:r w:rsidRPr="00CD3955">
          <w:rPr>
            <w:rStyle w:val="a1"/>
            <w:sz w:val="20"/>
            <w:szCs w:val="20"/>
            <w:vertAlign w:val="superscript"/>
          </w:rPr>
          <w:footnoteReference w:id="2"/>
        </w:r>
      </w:hyperlink>
      <w:r w:rsidRPr="00CD3955">
        <w:rPr>
          <w:rStyle w:val="a1"/>
          <w:sz w:val="20"/>
          <w:szCs w:val="20"/>
        </w:rPr>
        <w:t>. В документа са дадени примери за формати на събития, които може да вдъхновят и насочат изб</w:t>
      </w:r>
      <w:r w:rsidRPr="00CD3955">
        <w:rPr>
          <w:rStyle w:val="a1"/>
          <w:sz w:val="20"/>
          <w:szCs w:val="20"/>
        </w:rPr>
        <w:t>о</w:t>
      </w:r>
      <w:r w:rsidRPr="00CD3955">
        <w:rPr>
          <w:rStyle w:val="a1"/>
          <w:sz w:val="20"/>
          <w:szCs w:val="20"/>
        </w:rPr>
        <w:t>ра на държавите членки. На плат</w:t>
      </w:r>
      <w:r w:rsidRPr="00CD3955">
        <w:rPr>
          <w:rStyle w:val="a1"/>
          <w:sz w:val="20"/>
          <w:szCs w:val="20"/>
        </w:rPr>
        <w:t>формата има и конкретни указания за това как събитията да бъдат приобщаващи</w:t>
      </w:r>
      <w:r>
        <w:rPr>
          <w:rStyle w:val="a1"/>
        </w:rPr>
        <w:t>.</w:t>
      </w:r>
    </w:p>
    <w:p w14:paraId="65C11D8B" w14:textId="77777777" w:rsidR="003B7C2C" w:rsidRDefault="0015042C">
      <w:pPr>
        <w:pStyle w:val="20"/>
        <w:keepNext/>
        <w:keepLines/>
        <w:numPr>
          <w:ilvl w:val="0"/>
          <w:numId w:val="1"/>
        </w:numPr>
        <w:tabs>
          <w:tab w:val="left" w:pos="770"/>
        </w:tabs>
        <w:ind w:firstLine="420"/>
        <w:jc w:val="both"/>
      </w:pPr>
      <w:bookmarkStart w:id="3" w:name="bookmark4"/>
      <w:r>
        <w:rPr>
          <w:rStyle w:val="2"/>
          <w:b/>
        </w:rPr>
        <w:t>Цел</w:t>
      </w:r>
      <w:bookmarkEnd w:id="3"/>
    </w:p>
    <w:p w14:paraId="3C975289" w14:textId="77777777" w:rsidR="003B7C2C" w:rsidRDefault="0015042C">
      <w:pPr>
        <w:pStyle w:val="a2"/>
        <w:spacing w:after="0"/>
        <w:ind w:firstLine="820"/>
        <w:jc w:val="both"/>
      </w:pPr>
      <w:r>
        <w:rPr>
          <w:rStyle w:val="a1"/>
        </w:rPr>
        <w:t xml:space="preserve">Панелите следва да имат ясна цел и задача: </w:t>
      </w:r>
      <w:r>
        <w:rPr>
          <w:rStyle w:val="a1"/>
          <w:i/>
          <w:iCs/>
        </w:rPr>
        <w:t>„целта следва да бъде очертана като ясна задача и да бъде свързана с определен обществен проблем.</w:t>
      </w:r>
      <w:r>
        <w:rPr>
          <w:rStyle w:val="a1"/>
          <w:i/>
        </w:rPr>
        <w:t xml:space="preserve"> Тя се формулира неутрално като въп</w:t>
      </w:r>
      <w:r>
        <w:rPr>
          <w:rStyle w:val="a1"/>
          <w:i/>
        </w:rPr>
        <w:t xml:space="preserve">рос на ясен език.“ </w:t>
      </w:r>
      <w:r>
        <w:rPr>
          <w:rStyle w:val="a1"/>
        </w:rPr>
        <w:t xml:space="preserve"> Ролята на гражданите и влиянието на техния принос трябва да бъдат ясни.  </w:t>
      </w:r>
      <w:r>
        <w:rPr>
          <w:rStyle w:val="a1"/>
        </w:rPr>
        <w:t>Трябва да се правят препратки към цялостния процес на Конференцията за бъдещето на Европа.</w:t>
      </w:r>
    </w:p>
    <w:p w14:paraId="144620F9" w14:textId="77777777" w:rsidR="003B7C2C" w:rsidRDefault="0015042C">
      <w:pPr>
        <w:pStyle w:val="a2"/>
        <w:ind w:firstLine="820"/>
        <w:jc w:val="both"/>
      </w:pPr>
      <w:r>
        <w:rPr>
          <w:rStyle w:val="a1"/>
        </w:rPr>
        <w:t>На многоезичната дигитална платформа на Конференцията за бъдещето на Европа са дадени предложения за теми, като държавите членки могат да изберат всяка тема, свързан</w:t>
      </w:r>
      <w:r>
        <w:rPr>
          <w:rStyle w:val="a1"/>
        </w:rPr>
        <w:t>а с Европейския съюз, която преценят като важна. Съгласно Съвместната декларация относно Конференцията за бъдещето на Европа, обхватът на конференцията следва да отговаря на областите, в които Европейският съюз има правомощия за действие или в които действ</w:t>
      </w:r>
      <w:r>
        <w:rPr>
          <w:rStyle w:val="a1"/>
        </w:rPr>
        <w:t>ията на Европейския съюз биха били в полза на европейските граждани. Крайната цел на панелите е да дадат колективни препоръки по конкретни теми, свързани с бъдещето на Европа.</w:t>
      </w:r>
    </w:p>
    <w:p w14:paraId="616BA3B5" w14:textId="77777777" w:rsidR="003B7C2C" w:rsidRDefault="0015042C">
      <w:pPr>
        <w:pStyle w:val="20"/>
        <w:keepNext/>
        <w:keepLines/>
        <w:numPr>
          <w:ilvl w:val="0"/>
          <w:numId w:val="1"/>
        </w:numPr>
        <w:tabs>
          <w:tab w:val="left" w:pos="770"/>
        </w:tabs>
        <w:ind w:firstLine="420"/>
        <w:jc w:val="both"/>
      </w:pPr>
      <w:bookmarkStart w:id="4" w:name="bookmark6"/>
      <w:r>
        <w:rPr>
          <w:rStyle w:val="2"/>
          <w:b/>
        </w:rPr>
        <w:t>Последващи действия</w:t>
      </w:r>
      <w:bookmarkEnd w:id="4"/>
    </w:p>
    <w:p w14:paraId="797439E1" w14:textId="77777777" w:rsidR="003B7C2C" w:rsidRDefault="0015042C">
      <w:pPr>
        <w:pStyle w:val="a2"/>
        <w:spacing w:after="0"/>
        <w:ind w:firstLine="820"/>
        <w:jc w:val="both"/>
      </w:pPr>
      <w:r>
        <w:rPr>
          <w:rStyle w:val="a1"/>
          <w:i/>
          <w:iCs/>
        </w:rPr>
        <w:t>“</w:t>
      </w:r>
      <w:r>
        <w:rPr>
          <w:rStyle w:val="a1"/>
          <w:i/>
        </w:rPr>
        <w:t>Организиращият обществен орган следва да се ангажира публич</w:t>
      </w:r>
      <w:r>
        <w:rPr>
          <w:rStyle w:val="a1"/>
          <w:i/>
        </w:rPr>
        <w:t xml:space="preserve">но, че ще отговори или </w:t>
      </w:r>
      <w:r>
        <w:rPr>
          <w:rStyle w:val="a1"/>
          <w:i/>
        </w:rPr>
        <w:lastRenderedPageBreak/>
        <w:t>предприеме действия в зависимост от препоръките на участниците навременно.”</w:t>
      </w:r>
      <w:r>
        <w:rPr>
          <w:rStyle w:val="a1"/>
        </w:rPr>
        <w:t xml:space="preserve"> Национални мерки за разпространение и координация, които могат да осигурят подемането и видимостта на резултатите от националните граждански панели, биха под</w:t>
      </w:r>
      <w:r>
        <w:rPr>
          <w:rStyle w:val="a1"/>
        </w:rPr>
        <w:t>обрили интегрирането на действията на национално/регионално/местно ниво в по-широкия контекст на конференцията. Това важи особено предвид потенциалното припокриване на сходни дискусии на местно/национално ниво и на ниво ЕС.</w:t>
      </w:r>
    </w:p>
    <w:p w14:paraId="7ADD78DA" w14:textId="77777777" w:rsidR="003B7C2C" w:rsidRDefault="0015042C">
      <w:pPr>
        <w:pStyle w:val="a2"/>
        <w:ind w:firstLine="760"/>
        <w:jc w:val="both"/>
      </w:pPr>
      <w:r>
        <w:rPr>
          <w:rStyle w:val="a1"/>
        </w:rPr>
        <w:t>Трите европейски институции се а</w:t>
      </w:r>
      <w:r>
        <w:rPr>
          <w:rStyle w:val="a1"/>
        </w:rPr>
        <w:t>нгажират да отговорят на препоръките на участниците съгласно Съвместната декларация</w:t>
      </w:r>
      <w:r>
        <w:rPr>
          <w:rStyle w:val="a1"/>
          <w:i/>
        </w:rPr>
        <w:t xml:space="preserve">: “Окончателните резултати от конференцията ще бъдат отразени в доклад до съвместното председателство. Трите институции незабавно ще проучат възможните ефективни последващи </w:t>
      </w:r>
      <w:r>
        <w:rPr>
          <w:rStyle w:val="a1"/>
          <w:i/>
        </w:rPr>
        <w:t>действия по този доклад, като всяка от тях работи в своята сфера на компетентност и в съответствие с Договорите.”</w:t>
      </w:r>
    </w:p>
    <w:p w14:paraId="1D7236D0" w14:textId="77777777" w:rsidR="003B7C2C" w:rsidRDefault="0015042C">
      <w:pPr>
        <w:pStyle w:val="20"/>
        <w:keepNext/>
        <w:keepLines/>
        <w:numPr>
          <w:ilvl w:val="0"/>
          <w:numId w:val="1"/>
        </w:numPr>
        <w:tabs>
          <w:tab w:val="left" w:pos="750"/>
        </w:tabs>
        <w:jc w:val="both"/>
      </w:pPr>
      <w:bookmarkStart w:id="5" w:name="bookmark8"/>
      <w:r>
        <w:rPr>
          <w:rStyle w:val="2"/>
          <w:b/>
        </w:rPr>
        <w:t>Прозрачност</w:t>
      </w:r>
      <w:bookmarkEnd w:id="5"/>
    </w:p>
    <w:p w14:paraId="41AD8787" w14:textId="77777777" w:rsidR="003B7C2C" w:rsidRDefault="0015042C">
      <w:pPr>
        <w:pStyle w:val="a2"/>
        <w:spacing w:after="0"/>
        <w:ind w:firstLine="760"/>
        <w:jc w:val="both"/>
      </w:pPr>
      <w:r>
        <w:rPr>
          <w:rStyle w:val="a1"/>
        </w:rPr>
        <w:t>“</w:t>
      </w:r>
      <w:r>
        <w:rPr>
          <w:rStyle w:val="a1"/>
          <w:i/>
        </w:rPr>
        <w:t>Процесът на разискване следва да бъде обявен публично преди началото му. Моделът на процеса и всички материали [...] трябва навременно да бъдат на разположение на обществеността.</w:t>
      </w:r>
      <w:r>
        <w:rPr>
          <w:rStyle w:val="a1"/>
        </w:rPr>
        <w:t>” Многоезичната дигитална платформа на конференцията е основното средищно мяст</w:t>
      </w:r>
      <w:r>
        <w:rPr>
          <w:rStyle w:val="a1"/>
        </w:rPr>
        <w:t xml:space="preserve">о за свързани с конференцията събития, принос и информацията, като по този начин се осигурява прозрачност. Всички материали следва да бъдат публикувани на многоезичната дигитална платформа, </w:t>
      </w:r>
      <w:hyperlink r:id="rId8" w:history="1">
        <w:r>
          <w:rPr>
            <w:rStyle w:val="a1"/>
            <w:color w:val="1155CC"/>
            <w:u w:val="single"/>
          </w:rPr>
          <w:t>https://futureu.eu</w:t>
        </w:r>
        <w:r>
          <w:rPr>
            <w:rStyle w:val="a1"/>
            <w:color w:val="1155CC"/>
            <w:u w:val="single"/>
          </w:rPr>
          <w:t>ropa.eu/</w:t>
        </w:r>
        <w:r>
          <w:rPr>
            <w:rStyle w:val="a1"/>
            <w:color w:val="1155CC"/>
          </w:rPr>
          <w:t xml:space="preserve"> </w:t>
        </w:r>
      </w:hyperlink>
      <w:r>
        <w:rPr>
          <w:rStyle w:val="a1"/>
        </w:rPr>
        <w:t>на която се събира целият принос от европейските граждански панели и пленарните заседания на конференцията, както и други свързани дейности и прояви.</w:t>
      </w:r>
    </w:p>
    <w:p w14:paraId="39352833" w14:textId="77777777" w:rsidR="003B7C2C" w:rsidRDefault="0015042C">
      <w:pPr>
        <w:pStyle w:val="a2"/>
        <w:ind w:firstLine="760"/>
        <w:jc w:val="both"/>
      </w:pPr>
      <w:r>
        <w:rPr>
          <w:rStyle w:val="a1"/>
        </w:rPr>
        <w:t>В Съвместната декларация е предвидено, че препоръките от национални и европейски граждански па</w:t>
      </w:r>
      <w:r>
        <w:rPr>
          <w:rStyle w:val="a1"/>
        </w:rPr>
        <w:t>нели ще бъдат обсъдени на пленарно заседание на конференцията. В допълнение към платформата държавите членки могат да използват съществуващи институционални структури на Съюза, за да представят резултатите от национални граждански панели.</w:t>
      </w:r>
    </w:p>
    <w:p w14:paraId="4754046B" w14:textId="77777777" w:rsidR="003B7C2C" w:rsidRDefault="0015042C">
      <w:pPr>
        <w:pStyle w:val="20"/>
        <w:keepNext/>
        <w:keepLines/>
        <w:numPr>
          <w:ilvl w:val="0"/>
          <w:numId w:val="1"/>
        </w:numPr>
        <w:tabs>
          <w:tab w:val="left" w:pos="750"/>
        </w:tabs>
        <w:jc w:val="both"/>
      </w:pPr>
      <w:bookmarkStart w:id="6" w:name="bookmark10"/>
      <w:r>
        <w:rPr>
          <w:rStyle w:val="2"/>
          <w:b/>
        </w:rPr>
        <w:t>Приобщаване</w:t>
      </w:r>
      <w:bookmarkEnd w:id="6"/>
    </w:p>
    <w:p w14:paraId="7D3A592E" w14:textId="3EC1A48A" w:rsidR="003B7C2C" w:rsidRDefault="0015042C">
      <w:pPr>
        <w:pStyle w:val="a2"/>
        <w:spacing w:after="520"/>
        <w:ind w:firstLine="760"/>
        <w:jc w:val="both"/>
      </w:pPr>
      <w:r>
        <w:rPr>
          <w:rStyle w:val="a1"/>
        </w:rPr>
        <w:t>“</w:t>
      </w:r>
      <w:r>
        <w:rPr>
          <w:rStyle w:val="a1"/>
          <w:i/>
        </w:rPr>
        <w:t>Прио</w:t>
      </w:r>
      <w:r>
        <w:rPr>
          <w:rStyle w:val="a1"/>
          <w:i/>
        </w:rPr>
        <w:t>бщаването следва да бъде постигнато чрез разглеждане на въпроса как да бъдат включени групи, които не са достатъчно представени.</w:t>
      </w:r>
      <w:r>
        <w:rPr>
          <w:rStyle w:val="a1"/>
        </w:rPr>
        <w:t>” “</w:t>
      </w:r>
      <w:r>
        <w:rPr>
          <w:rStyle w:val="a1"/>
          <w:i/>
        </w:rPr>
        <w:t>Участието следва също така да се насърчава и подкрепя чрез възнаграждение, покриване на разходи и/или предоставяне на средств</w:t>
      </w:r>
      <w:r>
        <w:rPr>
          <w:rStyle w:val="a1"/>
          <w:i/>
        </w:rPr>
        <w:t>а за полагане на грижи за деца или възрастни хора</w:t>
      </w:r>
      <w:r>
        <w:rPr>
          <w:rStyle w:val="a1"/>
        </w:rPr>
        <w:t>,” както и чрез предоставяне на необходимата подкрепа и подпомагане. Това важи както за присъствени, така и за онлайн събития. По сходен начин с европейските граждански панели може да се търси преимуществено</w:t>
      </w:r>
      <w:r>
        <w:rPr>
          <w:rStyle w:val="a1"/>
        </w:rPr>
        <w:t xml:space="preserve"> представителство на млади хора или други групи. Особено внимание следва да се обърне на подходящото </w:t>
      </w:r>
      <w:r>
        <w:rPr>
          <w:rStyle w:val="a1"/>
        </w:rPr>
        <w:t xml:space="preserve">снабдяване </w:t>
      </w:r>
      <w:r>
        <w:rPr>
          <w:rStyle w:val="a1"/>
        </w:rPr>
        <w:t xml:space="preserve">на панелите с участието на опитни </w:t>
      </w:r>
      <w:proofErr w:type="spellStart"/>
      <w:r>
        <w:rPr>
          <w:rStyle w:val="a1"/>
        </w:rPr>
        <w:t>фасилитатори</w:t>
      </w:r>
      <w:proofErr w:type="spellEnd"/>
      <w:r>
        <w:rPr>
          <w:rStyle w:val="a1"/>
        </w:rPr>
        <w:t>.</w:t>
      </w:r>
    </w:p>
    <w:p w14:paraId="427C3185" w14:textId="77777777" w:rsidR="003B7C2C" w:rsidRDefault="0015042C">
      <w:pPr>
        <w:pStyle w:val="20"/>
        <w:keepNext/>
        <w:keepLines/>
        <w:numPr>
          <w:ilvl w:val="0"/>
          <w:numId w:val="1"/>
        </w:numPr>
        <w:tabs>
          <w:tab w:val="left" w:pos="750"/>
        </w:tabs>
        <w:jc w:val="both"/>
      </w:pPr>
      <w:bookmarkStart w:id="7" w:name="bookmark12"/>
      <w:r>
        <w:rPr>
          <w:rStyle w:val="2"/>
          <w:b/>
        </w:rPr>
        <w:t>Представителност</w:t>
      </w:r>
      <w:bookmarkEnd w:id="7"/>
    </w:p>
    <w:p w14:paraId="3184A63E" w14:textId="77777777" w:rsidR="003B7C2C" w:rsidRDefault="0015042C">
      <w:pPr>
        <w:pStyle w:val="a2"/>
        <w:spacing w:after="0"/>
        <w:ind w:firstLine="760"/>
        <w:jc w:val="both"/>
      </w:pPr>
      <w:r>
        <w:rPr>
          <w:rStyle w:val="a1"/>
        </w:rPr>
        <w:t>“</w:t>
      </w:r>
      <w:r>
        <w:rPr>
          <w:rStyle w:val="a1"/>
          <w:i/>
        </w:rPr>
        <w:t>Участниците трябва да бъдат микрокосмос на широката общественост.</w:t>
      </w:r>
      <w:r>
        <w:rPr>
          <w:rStyle w:val="a1"/>
          <w:i/>
        </w:rPr>
        <w:t xml:space="preserve"> Това се постига чрез принципа на случаен избор</w:t>
      </w:r>
      <w:r>
        <w:rPr>
          <w:rStyle w:val="a1"/>
        </w:rPr>
        <w:t xml:space="preserve">”, като се осигурява представителство по различен географски произход, пол, възраст, социоикономически фактори и/или образователно ниво в съответната държава/регион, както е посочено и в </w:t>
      </w:r>
      <w:r>
        <w:rPr>
          <w:rStyle w:val="a1"/>
          <w:i/>
          <w:iCs/>
        </w:rPr>
        <w:t>Съвместната декларация</w:t>
      </w:r>
      <w:r>
        <w:rPr>
          <w:rStyle w:val="a1"/>
          <w:i/>
          <w:iCs/>
        </w:rPr>
        <w:t xml:space="preserve"> </w:t>
      </w:r>
      <w:r>
        <w:rPr>
          <w:rStyle w:val="a1"/>
        </w:rPr>
        <w:t>относно европейските граждански панели. При избора на участници трябва да се вземе предвид възможно изключване поради изборни фактори или политически отговорности.</w:t>
      </w:r>
    </w:p>
    <w:p w14:paraId="48EA53B7" w14:textId="77777777" w:rsidR="003B7C2C" w:rsidRDefault="0015042C">
      <w:pPr>
        <w:pStyle w:val="a2"/>
        <w:spacing w:after="0"/>
        <w:ind w:firstLine="760"/>
        <w:jc w:val="both"/>
      </w:pPr>
      <w:r>
        <w:rPr>
          <w:rStyle w:val="a1"/>
        </w:rPr>
        <w:t>Участниците в един панел са обикновено между 50 и 200 граждани в зависимост от броя на насе</w:t>
      </w:r>
      <w:r>
        <w:rPr>
          <w:rStyle w:val="a1"/>
        </w:rPr>
        <w:t>лението на дадена държава членка, регион или област. Трябва да се положат усилия да се достигне до тези, които обикновено на вземат участие в обществени дебати или политически дискусии, напр. като се избере място, до което има лесен достъп.</w:t>
      </w:r>
    </w:p>
    <w:p w14:paraId="609A805A" w14:textId="77777777" w:rsidR="003B7C2C" w:rsidRDefault="0015042C">
      <w:pPr>
        <w:pStyle w:val="a2"/>
        <w:ind w:firstLine="760"/>
        <w:jc w:val="both"/>
      </w:pPr>
      <w:r>
        <w:rPr>
          <w:rStyle w:val="a1"/>
        </w:rPr>
        <w:t xml:space="preserve">Организирането </w:t>
      </w:r>
      <w:r>
        <w:rPr>
          <w:rStyle w:val="a1"/>
        </w:rPr>
        <w:t xml:space="preserve">на присъствени граждански панели има и доказана добавена стойност от гледна точка на многообразието и качеството на взаимодействието и диалога между участниците. </w:t>
      </w:r>
      <w:r>
        <w:rPr>
          <w:rStyle w:val="a1"/>
        </w:rPr>
        <w:lastRenderedPageBreak/>
        <w:t>При онлайн дебати следва да се вземе предвид необходимостта от по-чести почивки. Онлайн сесиит</w:t>
      </w:r>
      <w:r>
        <w:rPr>
          <w:rStyle w:val="a1"/>
        </w:rPr>
        <w:t>е може да бъдат разделени на множество сесии.</w:t>
      </w:r>
    </w:p>
    <w:p w14:paraId="223AD39D" w14:textId="77777777" w:rsidR="003B7C2C" w:rsidRDefault="0015042C">
      <w:pPr>
        <w:pStyle w:val="20"/>
        <w:keepNext/>
        <w:keepLines/>
        <w:numPr>
          <w:ilvl w:val="0"/>
          <w:numId w:val="1"/>
        </w:numPr>
        <w:tabs>
          <w:tab w:val="left" w:pos="750"/>
        </w:tabs>
        <w:jc w:val="both"/>
      </w:pPr>
      <w:bookmarkStart w:id="8" w:name="bookmark14"/>
      <w:r>
        <w:rPr>
          <w:rStyle w:val="2"/>
          <w:b/>
        </w:rPr>
        <w:t>Информация</w:t>
      </w:r>
      <w:bookmarkEnd w:id="8"/>
    </w:p>
    <w:p w14:paraId="45D4FC7C" w14:textId="25D21767" w:rsidR="003B7C2C" w:rsidRDefault="0015042C">
      <w:pPr>
        <w:pStyle w:val="a2"/>
        <w:ind w:firstLine="760"/>
        <w:jc w:val="both"/>
      </w:pPr>
      <w:r>
        <w:rPr>
          <w:rStyle w:val="a1"/>
        </w:rPr>
        <w:t>“</w:t>
      </w:r>
      <w:r>
        <w:rPr>
          <w:rStyle w:val="a1"/>
          <w:i/>
        </w:rPr>
        <w:t xml:space="preserve">Участниците следва да имат достъп до широка гама точни, </w:t>
      </w:r>
      <w:r>
        <w:rPr>
          <w:rStyle w:val="a1"/>
          <w:i/>
        </w:rPr>
        <w:t xml:space="preserve">тематично свързани </w:t>
      </w:r>
      <w:r>
        <w:rPr>
          <w:rStyle w:val="a1"/>
          <w:i/>
        </w:rPr>
        <w:t>и достъпни доказателства и експертни познания”</w:t>
      </w:r>
      <w:r>
        <w:rPr>
          <w:rStyle w:val="a1"/>
        </w:rPr>
        <w:t xml:space="preserve"> относно същината на темата, която ще се обсъжда, за да се осигури</w:t>
      </w:r>
      <w:r>
        <w:rPr>
          <w:rStyle w:val="a1"/>
        </w:rPr>
        <w:t xml:space="preserve"> възможност за колективно осмисляне. Трябва да бъдат установени ясни процедури, за да се гарантира, че знанията, които се предоставят на гражданите, са адекватни и балансирани. В съответствие с това гражданите следва да имат възможност в рамките на съответ</w:t>
      </w:r>
      <w:r>
        <w:rPr>
          <w:rStyle w:val="a1"/>
        </w:rPr>
        <w:t>ния панел да изберат върху кои конкретни теми искат да се съсредоточат, както и вида експертни познания, които са им необходими.</w:t>
      </w:r>
    </w:p>
    <w:p w14:paraId="16E701B5" w14:textId="77777777" w:rsidR="003B7C2C" w:rsidRDefault="0015042C">
      <w:pPr>
        <w:pStyle w:val="20"/>
        <w:keepNext/>
        <w:keepLines/>
        <w:numPr>
          <w:ilvl w:val="0"/>
          <w:numId w:val="1"/>
        </w:numPr>
        <w:tabs>
          <w:tab w:val="left" w:pos="750"/>
        </w:tabs>
        <w:jc w:val="both"/>
      </w:pPr>
      <w:bookmarkStart w:id="9" w:name="bookmark16"/>
      <w:r>
        <w:rPr>
          <w:rStyle w:val="2"/>
          <w:b/>
        </w:rPr>
        <w:t>Групово разискване</w:t>
      </w:r>
      <w:bookmarkEnd w:id="9"/>
    </w:p>
    <w:p w14:paraId="37393C5E" w14:textId="2A2E3319" w:rsidR="003B7C2C" w:rsidRDefault="0015042C">
      <w:pPr>
        <w:pStyle w:val="a2"/>
        <w:ind w:firstLine="760"/>
        <w:jc w:val="both"/>
      </w:pPr>
      <w:r>
        <w:rPr>
          <w:rStyle w:val="a1"/>
          <w:i/>
        </w:rPr>
        <w:t xml:space="preserve">“Участниците трябва да </w:t>
      </w:r>
      <w:r>
        <w:rPr>
          <w:rStyle w:val="a1"/>
          <w:i/>
        </w:rPr>
        <w:t>м</w:t>
      </w:r>
      <w:r>
        <w:rPr>
          <w:rStyle w:val="a1"/>
          <w:i/>
        </w:rPr>
        <w:t xml:space="preserve">огат да намерят обща основа </w:t>
      </w:r>
      <w:r>
        <w:rPr>
          <w:rStyle w:val="a1"/>
          <w:i/>
        </w:rPr>
        <w:t>да приобщят</w:t>
      </w:r>
      <w:r>
        <w:rPr>
          <w:rStyle w:val="a1"/>
          <w:i/>
        </w:rPr>
        <w:t xml:space="preserve"> колективните препоръки към обществения орган. Това предполага внимателно и активно изслушване, преценяване и разглеждане на множество гледни точки, всеки участник да има възможност да се изкаже, комбинация от формати, които се редуват като обсъждания и де</w:t>
      </w:r>
      <w:r>
        <w:rPr>
          <w:rStyle w:val="a1"/>
          <w:i/>
        </w:rPr>
        <w:t xml:space="preserve">йности в малки групи и на пленарно заседание, както и умело </w:t>
      </w:r>
      <w:proofErr w:type="spellStart"/>
      <w:r>
        <w:rPr>
          <w:rStyle w:val="a1"/>
          <w:i/>
        </w:rPr>
        <w:t>фасилитиране</w:t>
      </w:r>
      <w:proofErr w:type="spellEnd"/>
      <w:r>
        <w:rPr>
          <w:rStyle w:val="a1"/>
          <w:i/>
        </w:rPr>
        <w:t xml:space="preserve">.” </w:t>
      </w:r>
      <w:r>
        <w:rPr>
          <w:rStyle w:val="a1"/>
        </w:rPr>
        <w:t xml:space="preserve">Организаторите трябва да планират </w:t>
      </w:r>
      <w:r>
        <w:rPr>
          <w:rStyle w:val="a1"/>
          <w:b/>
        </w:rPr>
        <w:t xml:space="preserve">улеснени </w:t>
      </w:r>
      <w:r>
        <w:rPr>
          <w:rStyle w:val="a1"/>
          <w:b/>
        </w:rPr>
        <w:t xml:space="preserve">дискусии </w:t>
      </w:r>
      <w:r>
        <w:rPr>
          <w:rStyle w:val="a1"/>
        </w:rPr>
        <w:t>в пленарно заседание на панела и в по-малки подгрупи с приблизително по 10 души на маса. Подгрупите обсъждат и форму</w:t>
      </w:r>
      <w:r>
        <w:rPr>
          <w:rStyle w:val="a1"/>
        </w:rPr>
        <w:t xml:space="preserve">лират препоръки, които след това се обсъждат и приемат на пленарно заседание на панела. </w:t>
      </w:r>
      <w:proofErr w:type="spellStart"/>
      <w:r>
        <w:rPr>
          <w:rStyle w:val="a1"/>
        </w:rPr>
        <w:t>Фасилитирането</w:t>
      </w:r>
      <w:proofErr w:type="spellEnd"/>
      <w:r>
        <w:rPr>
          <w:rStyle w:val="a1"/>
        </w:rPr>
        <w:t xml:space="preserve"> трябва да бъде </w:t>
      </w:r>
      <w:r>
        <w:rPr>
          <w:rStyle w:val="a1"/>
          <w:b/>
        </w:rPr>
        <w:t>неутрално и умело.</w:t>
      </w:r>
    </w:p>
    <w:p w14:paraId="29CDC428" w14:textId="77777777" w:rsidR="003B7C2C" w:rsidRDefault="0015042C">
      <w:pPr>
        <w:pStyle w:val="20"/>
        <w:keepNext/>
        <w:keepLines/>
        <w:numPr>
          <w:ilvl w:val="0"/>
          <w:numId w:val="1"/>
        </w:numPr>
        <w:tabs>
          <w:tab w:val="left" w:pos="750"/>
        </w:tabs>
        <w:jc w:val="both"/>
      </w:pPr>
      <w:bookmarkStart w:id="10" w:name="bookmark18"/>
      <w:r>
        <w:rPr>
          <w:rStyle w:val="2"/>
          <w:b/>
        </w:rPr>
        <w:t>Време</w:t>
      </w:r>
      <w:bookmarkEnd w:id="10"/>
    </w:p>
    <w:p w14:paraId="55EAFC7C" w14:textId="77777777" w:rsidR="003B7C2C" w:rsidRDefault="0015042C">
      <w:pPr>
        <w:pStyle w:val="a2"/>
        <w:ind w:firstLine="760"/>
        <w:jc w:val="both"/>
      </w:pPr>
      <w:r>
        <w:rPr>
          <w:rStyle w:val="a1"/>
        </w:rPr>
        <w:t>“</w:t>
      </w:r>
      <w:r>
        <w:rPr>
          <w:rStyle w:val="a1"/>
          <w:i/>
        </w:rPr>
        <w:t>При разискване е необходимо да има адекватно време за участниците да се запознаят с доказателствата и да ги прец</w:t>
      </w:r>
      <w:r>
        <w:rPr>
          <w:rStyle w:val="a1"/>
          <w:i/>
        </w:rPr>
        <w:t>енят, както и да разработят обосновани препоръки, поради сложността на повечето свързани с политиките проблеми</w:t>
      </w:r>
      <w:r>
        <w:rPr>
          <w:rStyle w:val="a1"/>
        </w:rPr>
        <w:t xml:space="preserve">.” Могат да бъдат планирани </w:t>
      </w:r>
      <w:r>
        <w:rPr>
          <w:rStyle w:val="a1"/>
          <w:b/>
        </w:rPr>
        <w:t xml:space="preserve">поне 4 до 6 дни за срещи </w:t>
      </w:r>
      <w:r>
        <w:rPr>
          <w:rStyle w:val="a1"/>
        </w:rPr>
        <w:t>(напр. два до три уикенда), когато се разглеждат комплексни теми в националния контекст. Като</w:t>
      </w:r>
      <w:r>
        <w:rPr>
          <w:rStyle w:val="a1"/>
        </w:rPr>
        <w:t xml:space="preserve"> алтернативен вариант може да се проведат няколко децентрализирани граждански панела в една държава членка, като се използва един и същи модел.</w:t>
      </w:r>
    </w:p>
    <w:p w14:paraId="32E5059A" w14:textId="496B0279" w:rsidR="003B7C2C" w:rsidRDefault="0015042C">
      <w:pPr>
        <w:pStyle w:val="20"/>
        <w:keepNext/>
        <w:keepLines/>
        <w:numPr>
          <w:ilvl w:val="0"/>
          <w:numId w:val="1"/>
        </w:numPr>
        <w:tabs>
          <w:tab w:val="left" w:pos="750"/>
        </w:tabs>
        <w:jc w:val="both"/>
      </w:pPr>
      <w:bookmarkStart w:id="11" w:name="bookmark20"/>
      <w:r>
        <w:rPr>
          <w:rStyle w:val="2"/>
          <w:b/>
        </w:rPr>
        <w:t>Интегритет</w:t>
      </w:r>
      <w:bookmarkEnd w:id="11"/>
    </w:p>
    <w:p w14:paraId="1714B5A5" w14:textId="3EE40DF4" w:rsidR="003B7C2C" w:rsidRDefault="0015042C">
      <w:pPr>
        <w:pStyle w:val="a2"/>
        <w:ind w:firstLine="760"/>
        <w:jc w:val="both"/>
      </w:pPr>
      <w:r>
        <w:rPr>
          <w:rStyle w:val="a1"/>
        </w:rPr>
        <w:t xml:space="preserve">За да се осигури </w:t>
      </w:r>
      <w:r>
        <w:rPr>
          <w:rStyle w:val="a1"/>
        </w:rPr>
        <w:t xml:space="preserve">безпристрастност </w:t>
      </w:r>
      <w:r>
        <w:rPr>
          <w:rStyle w:val="a1"/>
        </w:rPr>
        <w:t xml:space="preserve">на </w:t>
      </w:r>
      <w:r>
        <w:rPr>
          <w:rStyle w:val="a1"/>
        </w:rPr>
        <w:t>процесите</w:t>
      </w:r>
      <w:r>
        <w:rPr>
          <w:rStyle w:val="a1"/>
        </w:rPr>
        <w:t>, “</w:t>
      </w:r>
      <w:r>
        <w:rPr>
          <w:rStyle w:val="a1"/>
          <w:i/>
        </w:rPr>
        <w:t>процесът следва да се в</w:t>
      </w:r>
      <w:r>
        <w:rPr>
          <w:rStyle w:val="a1"/>
          <w:i/>
        </w:rPr>
        <w:t>оди от стоящ близко координиращ екип, който е различен от възлагащия орган.”</w:t>
      </w:r>
    </w:p>
    <w:p w14:paraId="10894679" w14:textId="77777777" w:rsidR="003B7C2C" w:rsidRDefault="0015042C">
      <w:pPr>
        <w:pStyle w:val="20"/>
        <w:keepNext/>
        <w:keepLines/>
        <w:numPr>
          <w:ilvl w:val="0"/>
          <w:numId w:val="1"/>
        </w:numPr>
        <w:tabs>
          <w:tab w:val="left" w:pos="839"/>
        </w:tabs>
        <w:jc w:val="both"/>
      </w:pPr>
      <w:bookmarkStart w:id="12" w:name="bookmark22"/>
      <w:r>
        <w:rPr>
          <w:rStyle w:val="2"/>
          <w:b/>
        </w:rPr>
        <w:t>Лични данни</w:t>
      </w:r>
      <w:bookmarkEnd w:id="12"/>
    </w:p>
    <w:p w14:paraId="7D614707" w14:textId="77777777" w:rsidR="003B7C2C" w:rsidRDefault="0015042C">
      <w:pPr>
        <w:pStyle w:val="a2"/>
        <w:ind w:firstLine="760"/>
        <w:jc w:val="both"/>
      </w:pPr>
      <w:r>
        <w:rPr>
          <w:rStyle w:val="a1"/>
        </w:rPr>
        <w:t xml:space="preserve">Националните граждански панели трябва да гарантират </w:t>
      </w:r>
      <w:r>
        <w:rPr>
          <w:rStyle w:val="a1"/>
        </w:rPr>
        <w:t xml:space="preserve">поверителността на </w:t>
      </w:r>
      <w:r>
        <w:rPr>
          <w:rStyle w:val="a1"/>
        </w:rPr>
        <w:t>личните данни на участниците и да осигурят спазване на правилата на ЕС за защита на данните. “</w:t>
      </w:r>
      <w:r>
        <w:rPr>
          <w:rStyle w:val="a1"/>
          <w:i/>
        </w:rPr>
        <w:t>Ли</w:t>
      </w:r>
      <w:r>
        <w:rPr>
          <w:rStyle w:val="a1"/>
          <w:i/>
        </w:rPr>
        <w:t>чните данни на участниците трябва да бъдат опазени, за да бъдат участниците защитени от нежелан медиен интерес и тормоз, както и за да бъде съхранена независимостта на участниците, като се гарантира, че не защитават интереси според подкупи или лобизъм от о</w:t>
      </w:r>
      <w:r>
        <w:rPr>
          <w:rStyle w:val="a1"/>
          <w:i/>
        </w:rPr>
        <w:t>пределени групи или активисти.</w:t>
      </w:r>
      <w:r>
        <w:rPr>
          <w:rStyle w:val="a1"/>
        </w:rPr>
        <w:t>”</w:t>
      </w:r>
    </w:p>
    <w:p w14:paraId="17EEC4CB" w14:textId="77777777" w:rsidR="003B7C2C" w:rsidRDefault="0015042C">
      <w:pPr>
        <w:pStyle w:val="20"/>
        <w:keepNext/>
        <w:keepLines/>
        <w:numPr>
          <w:ilvl w:val="0"/>
          <w:numId w:val="1"/>
        </w:numPr>
        <w:tabs>
          <w:tab w:val="left" w:pos="839"/>
        </w:tabs>
        <w:spacing w:after="80"/>
        <w:jc w:val="both"/>
      </w:pPr>
      <w:bookmarkStart w:id="13" w:name="bookmark24"/>
      <w:r>
        <w:rPr>
          <w:rStyle w:val="2"/>
          <w:b/>
        </w:rPr>
        <w:t>Оценка</w:t>
      </w:r>
      <w:bookmarkEnd w:id="13"/>
    </w:p>
    <w:p w14:paraId="3E004CEE" w14:textId="77777777" w:rsidR="003B7C2C" w:rsidRDefault="0015042C">
      <w:pPr>
        <w:pStyle w:val="a2"/>
        <w:spacing w:line="240" w:lineRule="auto"/>
        <w:ind w:firstLine="0"/>
        <w:jc w:val="both"/>
      </w:pPr>
      <w:r>
        <w:rPr>
          <w:rStyle w:val="a1"/>
        </w:rPr>
        <w:t>“</w:t>
      </w:r>
      <w:r>
        <w:rPr>
          <w:rStyle w:val="a1"/>
          <w:i/>
        </w:rPr>
        <w:t>Участниците следва да направят анонимна оценка на процеса въз основа на обективни критерии (напр. количество и многообразие на предоставената информация, време, посветено на учене, гарантиране на независимост).</w:t>
      </w:r>
      <w:r>
        <w:rPr>
          <w:rStyle w:val="a1"/>
        </w:rPr>
        <w:t xml:space="preserve"> В началото и края на процеса може да бъде раз</w:t>
      </w:r>
      <w:r>
        <w:rPr>
          <w:rStyle w:val="a1"/>
        </w:rPr>
        <w:t>даден въпросник за оценка на степента на удовлетворение от процеса и степента на наученото в хода на разискванията в панелите.</w:t>
      </w:r>
    </w:p>
    <w:sectPr w:rsidR="003B7C2C">
      <w:pgSz w:w="12240" w:h="15840"/>
      <w:pgMar w:top="1408" w:right="1394" w:bottom="1358" w:left="1381" w:header="980" w:footer="930" w:gutter="0"/>
      <w:pgNumType w:start="1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06D79" w14:textId="77777777" w:rsidR="0015042C" w:rsidRDefault="0015042C">
      <w:r>
        <w:separator/>
      </w:r>
    </w:p>
  </w:endnote>
  <w:endnote w:type="continuationSeparator" w:id="0">
    <w:p w14:paraId="41F28800" w14:textId="77777777" w:rsidR="0015042C" w:rsidRDefault="0015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6770" w14:textId="77777777" w:rsidR="0015042C" w:rsidRDefault="0015042C">
      <w:r>
        <w:separator/>
      </w:r>
    </w:p>
  </w:footnote>
  <w:footnote w:type="continuationSeparator" w:id="0">
    <w:p w14:paraId="3150A05B" w14:textId="77777777" w:rsidR="0015042C" w:rsidRDefault="0015042C">
      <w:r>
        <w:continuationSeparator/>
      </w:r>
    </w:p>
  </w:footnote>
  <w:footnote w:id="1">
    <w:p w14:paraId="2E29969B" w14:textId="77777777" w:rsidR="003B7C2C" w:rsidRDefault="0015042C">
      <w:pPr>
        <w:pStyle w:val="a0"/>
        <w:jc w:val="both"/>
      </w:pPr>
      <w:bookmarkStart w:id="1" w:name="bookmark0"/>
      <w:bookmarkStart w:id="2" w:name="bookmark1"/>
      <w:r>
        <w:rPr>
          <w:rStyle w:val="a"/>
          <w:color w:val="000000"/>
          <w:u w:val="none"/>
          <w:vertAlign w:val="superscript"/>
        </w:rPr>
        <w:footnoteRef/>
      </w:r>
      <w:r>
        <w:rPr>
          <w:rStyle w:val="a"/>
          <w:color w:val="000000"/>
          <w:u w:val="none"/>
        </w:rPr>
        <w:t xml:space="preserve"> Докладът е достъпен на адрес:</w:t>
      </w:r>
      <w:hyperlink r:id="rId1" w:history="1">
        <w:r>
          <w:rPr>
            <w:rStyle w:val="a"/>
            <w:color w:val="000000"/>
            <w:u w:val="none"/>
          </w:rPr>
          <w:t xml:space="preserve"> </w:t>
        </w:r>
        <w:r>
          <w:rPr>
            <w:rStyle w:val="a"/>
          </w:rPr>
          <w:t>https://www.oecd.org/gov/open-government/innovative-citizen-participation-new-democratic-</w:t>
        </w:r>
      </w:hyperlink>
      <w:r>
        <w:rPr>
          <w:rStyle w:val="a"/>
        </w:rPr>
        <w:t xml:space="preserve"> </w:t>
      </w:r>
      <w:hyperlink r:id="rId2" w:history="1">
        <w:r>
          <w:rPr>
            <w:rStyle w:val="a"/>
          </w:rPr>
          <w:t>institutions-catching-the-deliberative-wave-highlights.pdf</w:t>
        </w:r>
        <w:r>
          <w:rPr>
            <w:rStyle w:val="a"/>
            <w:color w:val="000000"/>
            <w:u w:val="none"/>
          </w:rPr>
          <w:t xml:space="preserve">. </w:t>
        </w:r>
      </w:hyperlink>
      <w:r>
        <w:rPr>
          <w:rStyle w:val="a"/>
          <w:color w:val="000000"/>
          <w:u w:val="none"/>
        </w:rPr>
        <w:t xml:space="preserve">Цитатите в настоящия текст </w:t>
      </w:r>
      <w:r>
        <w:rPr>
          <w:rStyle w:val="a"/>
          <w:color w:val="000000"/>
          <w:u w:val="none"/>
        </w:rPr>
        <w:t>за взети от принципите за добри практики при процеси на разискване в хода на вземане на решения в публичния сектор, посочени в доклада.</w:t>
      </w:r>
      <w:bookmarkEnd w:id="1"/>
      <w:bookmarkEnd w:id="2"/>
    </w:p>
  </w:footnote>
  <w:footnote w:id="2">
    <w:p w14:paraId="0C839719" w14:textId="77777777" w:rsidR="003B7C2C" w:rsidRDefault="0015042C">
      <w:pPr>
        <w:pStyle w:val="a0"/>
      </w:pPr>
      <w:r>
        <w:rPr>
          <w:rStyle w:val="a"/>
          <w:color w:val="000000"/>
          <w:u w:val="none"/>
          <w:vertAlign w:val="superscript"/>
        </w:rPr>
        <w:footnoteRef/>
      </w:r>
      <w:hyperlink r:id="rId3" w:history="1">
        <w:r>
          <w:rPr>
            <w:rStyle w:val="a"/>
            <w:color w:val="000000"/>
            <w:u w:val="none"/>
          </w:rPr>
          <w:t xml:space="preserve"> </w:t>
        </w:r>
        <w:r>
          <w:rPr>
            <w:rStyle w:val="a"/>
          </w:rPr>
          <w:t>Как да организирам събитие? - Конференция за бъде</w:t>
        </w:r>
        <w:r>
          <w:rPr>
            <w:rStyle w:val="a"/>
          </w:rPr>
          <w:t>щето на Европа (europa.eu)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918D2"/>
    <w:multiLevelType w:val="multilevel"/>
    <w:tmpl w:val="D3CE01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2C"/>
    <w:rsid w:val="0004181E"/>
    <w:rsid w:val="0015042C"/>
    <w:rsid w:val="003B7C2C"/>
    <w:rsid w:val="00CD3955"/>
    <w:rsid w:val="00F7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B73B9"/>
  <w15:docId w15:val="{7224BFC0-2DC1-4F40-8C9E-F48C0F48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bg-BG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Бележка под линия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563C1"/>
      <w:sz w:val="20"/>
      <w:szCs w:val="20"/>
      <w:u w:val="singl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73763"/>
      <w:sz w:val="28"/>
      <w:szCs w:val="28"/>
      <w:u w:val="none"/>
    </w:rPr>
  </w:style>
  <w:style w:type="character" w:customStyle="1" w:styleId="a1">
    <w:name w:val="Основен текст_"/>
    <w:basedOn w:val="DefaultParagraphFont"/>
    <w:link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лавие #2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0">
    <w:name w:val="Бележка под линия"/>
    <w:basedOn w:val="Normal"/>
    <w:link w:val="a"/>
    <w:rPr>
      <w:rFonts w:ascii="Times New Roman" w:eastAsia="Times New Roman" w:hAnsi="Times New Roman" w:cs="Times New Roman"/>
      <w:color w:val="0563C1"/>
      <w:sz w:val="20"/>
      <w:szCs w:val="20"/>
      <w:u w:val="single"/>
    </w:rPr>
  </w:style>
  <w:style w:type="paragraph" w:customStyle="1" w:styleId="10">
    <w:name w:val="Заглавие #1"/>
    <w:basedOn w:val="Normal"/>
    <w:link w:val="1"/>
    <w:pPr>
      <w:spacing w:after="56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73763"/>
      <w:sz w:val="28"/>
      <w:szCs w:val="28"/>
    </w:rPr>
  </w:style>
  <w:style w:type="paragraph" w:customStyle="1" w:styleId="a2">
    <w:name w:val="Основен текст"/>
    <w:basedOn w:val="Normal"/>
    <w:link w:val="a1"/>
    <w:pPr>
      <w:spacing w:after="240" w:line="259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лавие #2"/>
    <w:basedOn w:val="Normal"/>
    <w:link w:val="2"/>
    <w:pPr>
      <w:spacing w:line="259" w:lineRule="auto"/>
      <w:ind w:firstLine="4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quot;https://futureu.europa.eu/&amp;quot" TargetMode="External"/><Relationship Id="rId3" Type="http://schemas.openxmlformats.org/officeDocument/2006/relationships/settings" Target="settings.xml"/><Relationship Id="rId7" Type="http://schemas.openxmlformats.org/officeDocument/2006/relationships/hyperlink" Target="quot;https://www.oecd.org/gov/open-government/innovative-citizen-participation-new-democratic-institutions-catching-the-deliberative-wave-highlights.pdf&amp;qu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quot;https://futureu.europa.eu/pages/organiseanevent&amp;quot" TargetMode="External"/><Relationship Id="rId2" Type="http://schemas.openxmlformats.org/officeDocument/2006/relationships/hyperlink" Target="quot;https://www.oecd.org/gov/open-government/innovative-citizen-participation-new-democratic-institutions-catching-the-deliberative-wave-highlights.pdf&amp;quot" TargetMode="External"/><Relationship Id="rId1" Type="http://schemas.openxmlformats.org/officeDocument/2006/relationships/hyperlink" Target="quot;https://www.oecd.org/gov/open-government/innovative-citizen-participation-new-democratic-institutions-catching-the-deliberative-wave-highlights.pdf&amp;qu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1410</Words>
  <Characters>8409</Characters>
  <Application>Microsoft Office Word</Application>
  <DocSecurity>0</DocSecurity>
  <Lines>127</Lines>
  <Paragraphs>38</Paragraphs>
  <ScaleCrop>false</ScaleCrop>
  <Company/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Попова</cp:lastModifiedBy>
  <cp:revision>4</cp:revision>
  <dcterms:created xsi:type="dcterms:W3CDTF">2021-08-31T09:00:00Z</dcterms:created>
  <dcterms:modified xsi:type="dcterms:W3CDTF">2021-08-31T09:04:00Z</dcterms:modified>
</cp:coreProperties>
</file>