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00000A"/>
          <w:u w:val="single"/>
        </w:rPr>
      </w:pPr>
      <w:r>
        <w:rPr>
          <w:rFonts w:cs="Times New Roman"/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color w:val="00000A"/>
          <w:u w:val="single"/>
        </w:rPr>
        <w:t>СЪРВЪРНО ОБОРУДВАНЕ, ОБОРУДВАНЕ ЗА ЛОКАЛНИ МРЕЖИ И РЕЗЕРВНИ ЧАСТИ</w:t>
      </w:r>
    </w:p>
    <w:p>
      <w:pPr>
        <w:pStyle w:val="ListParagraph"/>
        <w:rPr>
          <w:rFonts w:ascii="Times New Roman" w:hAnsi="Times New Roman" w:cs="Times New Roman"/>
          <w:b/>
          <w:b/>
          <w:color w:val="00000A"/>
          <w:u w:val="single"/>
        </w:rPr>
      </w:pPr>
      <w:r>
        <w:rPr>
          <w:rFonts w:cs="Times New Roman" w:ascii="Times New Roman" w:hAnsi="Times New Roman"/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NVMe ДИСК 1</w:t>
      </w:r>
    </w:p>
    <w:p>
      <w:pPr>
        <w:pStyle w:val="Default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cs="Times New Roman" w:ascii="Times New Roman" w:hAnsi="Times New Roman"/>
          <w:b/>
          <w:i/>
          <w:iCs/>
          <w:color w:val="00000A"/>
          <w:sz w:val="23"/>
          <w:szCs w:val="23"/>
        </w:rPr>
        <w:t>280 бр.</w:t>
      </w:r>
      <w:r>
        <w:rPr>
          <w:rFonts w:cs="Times New Roman" w:ascii="Times New Roman" w:hAnsi="Times New Roman"/>
          <w:i/>
          <w:iCs/>
          <w:color w:val="00000A"/>
          <w:sz w:val="23"/>
          <w:szCs w:val="23"/>
        </w:rPr>
        <w:t xml:space="preserve"> </w:t>
      </w:r>
    </w:p>
    <w:tbl>
      <w:tblPr>
        <w:tblW w:w="9062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512 GB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M.2 2280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M.2/​M-Key (PCIe 3.0 x4)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Скорост на трансфер при четене (MB/s)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3350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Скорост на трансфер при запис (MB/s)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2350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Четене IOPS 4K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390k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Запис IOPS 4K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380k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Тегло (гр)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11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Тип памет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TLC, MLC или SLC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MTBF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fill="FFFFFF" w:val="clear"/>
              </w:rPr>
              <w:t>2,000,000 hours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Ran.Read/Write Speed (QD32)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3500 / 2300 MB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Dimensions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(L x W x T):22x80x6.1mm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Operating Temperature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0°C~70°C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Адаптер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M2 SSD to PCI Express 3.0 4x adapter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>ТВЪРД ДИСК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>40 бр.</w:t>
      </w:r>
    </w:p>
    <w:tbl>
      <w:tblPr>
        <w:tblW w:w="9062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3.5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2TB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SATA3 SATA 6 Gb/s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5400;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32 MB cache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ТВЪРД ДИСК 2 - СЪРВЪРЕН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12 бр.</w:t>
      </w:r>
    </w:p>
    <w:tbl>
      <w:tblPr>
        <w:tblW w:w="9062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3.5 (предвидени за сървърно натоварване)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4TB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SATA3 SATA 6 Gb/s; 7200; 128 MB cache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МРЕЖОВИ КОНТРОЛЕР 1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>2 бр.</w:t>
      </w:r>
    </w:p>
    <w:tbl>
      <w:tblPr>
        <w:tblW w:w="90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Сигурност за безжични мрежи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(1) RJ45 Serial Port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(2) 10/100/1000 RJ45 LAN Ports</w:t>
            </w:r>
          </w:p>
          <w:p>
            <w:pPr>
              <w:pStyle w:val="Normal"/>
              <w:spacing w:before="0" w:after="160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(2) 1 Gbps RJ45/SFP Combination WAN Ports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Мин. Layer 3 Forwarding 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PerformancePacket Size: 64 - Bytes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Packet Size: 512 Bytes or Larger 2,400,000 pps4 Gbps (Line Rate)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1RU Line-rate Top-of-Rack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484 x 44 x 164 mm(19.06 x 1.73 x 6.46")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Процесор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Dual-Core 1 GHz, MIPS64 with Hardware Acceleration for Packet Processing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Съвместим за управление на AP 2.4/5.0 GHz UniFi</w:t>
            </w:r>
          </w:p>
          <w:p>
            <w:pPr>
              <w:pStyle w:val="Normal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Включен в комплекта комутатор 48 портов.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Вградено nternal AC/DC Power Adapter, 60W (24V, 2.5A)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УПРАВЛЯЕМ КОМУТАТОР 1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>3 бр.</w:t>
      </w:r>
    </w:p>
    <w:tbl>
      <w:tblPr>
        <w:tblW w:w="906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Комутатор на OSI ниво 2 (L2) и ниво 3 (L3)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Мин. 24 порта за 10Gbps SFP+ на панела на устройството с възможност за разширение с поне 2 х 40 Gbps QSFP порта</w:t>
            </w:r>
          </w:p>
          <w:p>
            <w:pPr>
              <w:pStyle w:val="Normal"/>
              <w:spacing w:lineRule="auto" w:line="252"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с включен SFP+ 10G модул, Мин. 300m, LC connector;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A"/>
                <w:sz w:val="20"/>
                <w:szCs w:val="20"/>
              </w:rPr>
              <w:t>LC-LC Duplex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Мин. 10Gbps(sfp+). Поне 500 Gbps backplane, non-blocking architecture вкл. модула за сдвояване (stacking module)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1RU Line-rate Top-of-Rack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Проходимост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Поне 400 </w:t>
            </w:r>
            <w:r>
              <w:rPr>
                <w:color w:val="00000A"/>
                <w:sz w:val="20"/>
                <w:szCs w:val="20"/>
                <w:lang w:val="en-US"/>
              </w:rPr>
              <w:t>Mpps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MAC </w:t>
            </w:r>
            <w:r>
              <w:rPr>
                <w:color w:val="00000A"/>
                <w:sz w:val="20"/>
                <w:szCs w:val="20"/>
              </w:rPr>
              <w:t>адреси &gt;</w:t>
            </w:r>
            <w:r>
              <w:rPr>
                <w:color w:val="00000A"/>
                <w:sz w:val="20"/>
                <w:szCs w:val="20"/>
                <w:lang w:val="en-US"/>
              </w:rPr>
              <w:t>=</w:t>
            </w:r>
            <w:r>
              <w:rPr>
                <w:color w:val="00000A"/>
                <w:sz w:val="20"/>
                <w:szCs w:val="20"/>
              </w:rPr>
              <w:t xml:space="preserve">100000; </w:t>
            </w:r>
            <w:r>
              <w:rPr>
                <w:color w:val="00000A"/>
                <w:sz w:val="20"/>
                <w:szCs w:val="20"/>
                <w:lang w:val="en-US"/>
              </w:rPr>
              <w:t>VLANs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&gt;=4000; ACL правила (общо) &gt;=3000; EtherChannel/LAG групи &gt;=60; Packets Buffer &gt;=8MB;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L2 </w:t>
            </w:r>
            <w:r>
              <w:rPr>
                <w:color w:val="00000A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VLAN, IEEE 802.1Q, vPC </w:t>
            </w:r>
            <w:r>
              <w:rPr>
                <w:color w:val="00000A"/>
                <w:sz w:val="20"/>
                <w:szCs w:val="20"/>
              </w:rPr>
              <w:t xml:space="preserve">или друг </w:t>
            </w:r>
            <w:r>
              <w:rPr>
                <w:color w:val="00000A"/>
                <w:sz w:val="20"/>
                <w:szCs w:val="20"/>
                <w:lang w:val="en-US"/>
              </w:rPr>
              <w:t>spanning tree free LAG, LACP, Unidirectional Link Detection UDLD, MSTP, RSTP, Spanning Tree guard - root, Private VLANs, Data Center Bridging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L3 </w:t>
            </w:r>
            <w:r>
              <w:rPr>
                <w:color w:val="00000A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RIP v2 or newer, OSPF for IPv6 (OSPF v2 &gt;=500 routes), BGP v4, Virtual Route Forwarding lite</w:t>
            </w:r>
            <w:r>
              <w:rPr>
                <w:color w:val="00000A"/>
                <w:sz w:val="20"/>
                <w:szCs w:val="20"/>
              </w:rPr>
              <w:t xml:space="preserve">, </w:t>
            </w:r>
            <w:r>
              <w:rPr>
                <w:color w:val="00000A"/>
                <w:sz w:val="20"/>
                <w:szCs w:val="20"/>
                <w:lang w:val="en-US"/>
              </w:rPr>
              <w:t>ECMP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bg-BG"/>
              </w:rPr>
              <w:t>Stacking module + кабел за сдвояване с всичко необходимо за сдвояване между устройства (съвместими с Dell PowerConnect N4000 Series)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bg-BG"/>
              </w:rPr>
              <w:t>SFP+ модули за всички портове (мин. 300 м.) съвместими с устройството и гаранционното обслужване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bg-BG"/>
              </w:rPr>
              <w:t>QSFP+ модули за всички портове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Модулно, Резервирано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59"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УПРАВЛЯЕМ КОМУТАТОР 2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>3 бр.</w:t>
      </w:r>
    </w:p>
    <w:tbl>
      <w:tblPr>
        <w:tblW w:w="906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Комутатор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L3 (съвместим за сдвояване с D-Link DGS Series)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10/100/1000 Mbps </w:t>
            </w:r>
            <w:bookmarkStart w:id="0" w:name="__DdeLink__3653_8354884339"/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4 х 10Gbps(sfp+) </w:t>
            </w:r>
            <w:bookmarkEnd w:id="0"/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ports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Rack-mountable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bookmarkStart w:id="1" w:name="OLE_LINK2910"/>
            <w:bookmarkEnd w:id="1"/>
            <w:r>
              <w:rPr>
                <w:color w:val="00000A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>
      <w:pPr>
        <w:pStyle w:val="Normal"/>
        <w:ind w:left="1080" w:hanging="0"/>
        <w:rPr>
          <w:b/>
          <w:b/>
          <w:color w:val="00000A"/>
          <w:u w:val="single"/>
          <w:lang w:val="en-US"/>
        </w:rPr>
      </w:pPr>
      <w:r>
        <w:rPr>
          <w:b/>
          <w:color w:val="00000A"/>
          <w:u w:val="single"/>
          <w:lang w:val="en-US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rFonts w:ascii="Times New Roman" w:hAnsi="Times New Roman"/>
          <w:color w:val="00000A"/>
        </w:rPr>
        <w:t>УПРАВЛЯЕМ КОМУТАТОР 3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i/>
          <w:iCs/>
          <w:color w:val="00000A"/>
          <w:sz w:val="23"/>
          <w:szCs w:val="23"/>
          <w:lang w:val="en-US"/>
        </w:rPr>
        <w:t>6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W w:w="906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Комутатор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L3 (съвместим за сдвояване с D-Link DGS Series)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10/100/1000 Mbps </w:t>
            </w:r>
            <w:bookmarkStart w:id="2" w:name="__DdeLink__3653_83548843311"/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4 х 10Gbps(sfp+) </w:t>
            </w:r>
            <w:bookmarkEnd w:id="2"/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ports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 xml:space="preserve">Rack-mountable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bookmarkStart w:id="3" w:name="OLE_LINK2912"/>
            <w:bookmarkEnd w:id="3"/>
            <w:r>
              <w:rPr>
                <w:color w:val="00000A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>
      <w:pPr>
        <w:pStyle w:val="Normal"/>
        <w:ind w:left="1080" w:hanging="0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ind w:left="1080" w:hanging="0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  <w:lang w:val="en-US"/>
        </w:rPr>
        <w:t>ИЗЧИСЛИТЕЛЕН СЪРВЪР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i/>
          <w:iCs/>
          <w:color w:val="00000A"/>
          <w:sz w:val="23"/>
          <w:szCs w:val="23"/>
          <w:lang w:val="en-US"/>
        </w:rPr>
        <w:t>2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W w:w="90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Сървър подходящ за изчисления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2x720W Redundant 80 PLUS Gold Level 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PSU, 2U, 8 x 3.5" SAS/SATA Hot-Swap drive bays, 2 x 3.5" Peripheral Drive Bay, &amp; 1 x 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Slim Floppy Drive and DVD drive (Optional), 3 x 80mm cooling fans, Rackmount rail kit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Дънна Платка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Scalable Processors., Dual Socket P (LGA 3647) supported, CPU TDP support 205W, 2 UPI up to 10.4 GT/s, CPU1: Skylake-F CPU supported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Up to 2TB 3DS ECC RDIMM and DDR4-2666MHz, Up to 2TB 3DS ECC LRDIMM, in 16 DIMM slots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 PCI-E 3.0 x16,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PCI-E 3.0 x8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M.2 Interface: PCI-E 3.0 x4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M.2 Form Factor: 2260, 2280, 22110,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PCI-E 3.0 NVMExpress x4 Internal Port(s)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 VGA port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controller for 14 SATA3 (6 Gbps) ports; RAID 0,1,5,10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Dual LAN with GbE from C621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Процесор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20 cores, 2.4Ghz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Охладител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2 бр. 2U Passive CPU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Памет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12 бр. 32GB DDR4-2666 2Rx4 ECC REG DIMM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Контролер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8-port (8 internal) 12Gb/s per port,  Supports RAID 0, 1, 5, 6, 10, 50, 60, 2GB 1866MHz DDR3 on-card cache, PCI-E x8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Други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TFM module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Кабели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2бр. MINI SAS HD TO 4 SATA, 90/90/75/75CM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Supermicro MCP-220-00043-0N - 3.5" convert to 2.5" hot-swap HDD Tray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Твърд Диск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SSD SATA 240GB, SATA,  2.5'',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Твърд Диск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6TB SATA 3, 256MB, 6Gbit/s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Мрежов Контр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PCI Express 2.0, Single SFP+ Connector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Услуги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Сервизиране на място 8x5  (3 години) в гр. Пловдив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СЪРВЪР ЗА СЪХРАНЕНИЕ НА ДАННИ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1 бр.</w:t>
      </w:r>
    </w:p>
    <w:tbl>
      <w:tblPr>
        <w:tblW w:w="90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Сървър подходящ за бърз достъп и съхранение на данни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Максимално 3U rack-mount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Макс. консумация 490 – 600 Watts (nominal – peak)</w:t>
            </w:r>
          </w:p>
          <w:p>
            <w:pPr>
              <w:pStyle w:val="Normal"/>
              <w:spacing w:before="0" w:after="160"/>
              <w:rPr/>
            </w:pPr>
            <w:r>
              <w:rPr>
                <w:color w:val="00000A"/>
                <w:sz w:val="20"/>
                <w:szCs w:val="20"/>
              </w:rPr>
              <w:t>Макс. Тегло 43.1 kg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Архитектура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Архитектура с дублиране на всички компоненти, без единична точка на отказ. Да позволява подмяна/надграждане на всеки един компонент без спиране на работата.</w:t>
            </w:r>
          </w:p>
          <w:p>
            <w:pPr>
              <w:pStyle w:val="Normal"/>
              <w:spacing w:before="0" w:after="160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NVMe &amp; NVMe-oF DirectFlash architecture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Контролери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Минимум 2 броя с взаимно осигуряване.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Тип дисков масив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Изцяло флаш базиран – проектиран да поддържа изцяло 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flash </w:t>
            </w:r>
            <w:r>
              <w:rPr>
                <w:color w:val="00000A"/>
                <w:sz w:val="20"/>
                <w:szCs w:val="20"/>
              </w:rPr>
              <w:t>технология.</w:t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Контролери – Fibre Channel (FC) интерфейс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Системата да разполага с поне 8 броя iSCSI порта със скорост не по-малка от 10Gbps на порт за връзка към мрежата за данни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Поддържани протоколи от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FC, iSCSINVMe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Капацитет на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Минимум от 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9,6TB </w:t>
            </w:r>
            <w:r>
              <w:rPr>
                <w:color w:val="00000A"/>
                <w:sz w:val="20"/>
                <w:szCs w:val="20"/>
              </w:rPr>
              <w:t>физическо дисково пространство,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Брой твърди дискове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Изисканото пространство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 (9,6TB) </w:t>
            </w:r>
            <w:r>
              <w:rPr>
                <w:color w:val="00000A"/>
                <w:sz w:val="20"/>
                <w:szCs w:val="20"/>
              </w:rPr>
              <w:t>да бъде осигурено с не по-малко от 10 броя дискови модули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 xml:space="preserve">тип </w:t>
            </w:r>
            <w:r>
              <w:rPr>
                <w:color w:val="00000A"/>
                <w:sz w:val="20"/>
                <w:szCs w:val="20"/>
                <w:lang w:val="en-US"/>
              </w:rPr>
              <w:t>SSD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Минимални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функционални възможности на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Да бъдат предоставени следните функционалности за целия допустим обем на системата, които покриват</w:t>
            </w:r>
            <w:r>
              <w:rPr>
                <w:color w:val="00000A"/>
                <w:sz w:val="20"/>
                <w:szCs w:val="20"/>
                <w:lang w:val="en-US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Механизъм за защита на данните (RAID protection) или еквивалент;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Снимка на логически дял от системата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 (Shapshot)</w:t>
            </w:r>
            <w:r>
              <w:rPr>
                <w:color w:val="00000A"/>
                <w:sz w:val="20"/>
                <w:szCs w:val="20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Провизиране на виртуално дисково пространство </w:t>
            </w:r>
            <w:r>
              <w:rPr>
                <w:color w:val="00000A"/>
                <w:sz w:val="20"/>
                <w:szCs w:val="20"/>
                <w:lang w:val="en-US"/>
              </w:rPr>
              <w:t>(Thin Provisioning)</w:t>
            </w:r>
            <w:r>
              <w:rPr>
                <w:color w:val="00000A"/>
                <w:sz w:val="20"/>
                <w:szCs w:val="20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Дедупликация на данните;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Компресия на данните;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Възможност за криптиране на данните;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Приоритизация на услути </w:t>
            </w:r>
            <w:r>
              <w:rPr>
                <w:color w:val="00000A"/>
                <w:sz w:val="20"/>
                <w:szCs w:val="20"/>
                <w:lang w:val="en-US"/>
              </w:rPr>
              <w:t>(</w:t>
            </w:r>
            <w:r>
              <w:rPr>
                <w:color w:val="00000A"/>
                <w:sz w:val="20"/>
                <w:szCs w:val="20"/>
              </w:rPr>
              <w:t>Q</w:t>
            </w:r>
            <w:r>
              <w:rPr>
                <w:color w:val="00000A"/>
                <w:sz w:val="20"/>
                <w:szCs w:val="20"/>
                <w:lang w:val="en-US"/>
              </w:rPr>
              <w:t>uality of Service)</w:t>
            </w:r>
            <w:r>
              <w:rPr>
                <w:color w:val="00000A"/>
                <w:sz w:val="20"/>
                <w:szCs w:val="20"/>
              </w:rPr>
              <w:t>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Асинхронна репликация към идентичен дисков масив;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Работа в режим на две едновременно активни локации</w:t>
            </w:r>
            <w:r>
              <w:rPr>
                <w:color w:val="00000A"/>
                <w:sz w:val="20"/>
                <w:szCs w:val="20"/>
                <w:lang w:val="en-US"/>
              </w:rPr>
              <w:t xml:space="preserve"> (Active – Active datacenter cluster configuration)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Архитектура с дублиране на всички компоненти, без единична точка на отказ. Да позволява подмяна/надграждане на всеки един компонент без спиране на работата.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REST API for cloud orchestration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00"/>
              <w:ind w:left="432" w:hanging="43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99.9999% availability plus always-on QoS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Интегрирани изчислителни ресурси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Притежава възможност за стартиране на виртуални машини директно върху контролерите на дисковия масив, без необходимост от сървърни хостове.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Управление и наблюдение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Включен софтуер за отдалечено и локално управление и наблюдение с GUI/Web и CLI потребителски интерфейс.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A"/>
                <w:sz w:val="20"/>
                <w:szCs w:val="20"/>
              </w:rPr>
              <w:t>Конфигурация на захранващите блокове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Резервирани N+1, сменяеми по време на работа на машината.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Мрежа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x 10 Gb Ethernet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x 10 Gb Ethernet Replication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x 1Gb Management Ports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Бързодействие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Макс. 100 000 iops при 32k blocksize с времезакъснение 1 ms (милисекунди)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Услуги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Минимум 3 Софтуерна поддръжка от производителя включва всички текущи и нови функционалности да се използват безплатно за периода на гаранцията за целия обем на системата;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Минимум 3 години Хардуерна поддръжка от производителя</w:t>
            </w:r>
          </w:p>
        </w:tc>
      </w:tr>
    </w:tbl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A"/>
          <w:lang w:val="en-US"/>
        </w:rPr>
        <w:t>НЕПРЕКЪСВАЕМО ТЗИ</w:t>
      </w:r>
      <w:r>
        <w:rPr>
          <w:rFonts w:ascii="Times New Roman" w:hAnsi="Times New Roman"/>
          <w:color w:val="00000A"/>
        </w:rPr>
        <w:t xml:space="preserve"> 3</w:t>
      </w:r>
    </w:p>
    <w:p>
      <w:pPr>
        <w:pStyle w:val="Default"/>
        <w:numPr>
          <w:ilvl w:val="0"/>
          <w:numId w:val="2"/>
        </w:numPr>
        <w:rPr/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rFonts w:ascii="Times New Roman" w:hAnsi="Times New Roman"/>
          <w:i/>
          <w:iCs/>
          <w:color w:val="00000A"/>
          <w:sz w:val="23"/>
          <w:szCs w:val="23"/>
          <w:lang w:val="en-US"/>
        </w:rPr>
        <w:t>4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W w:w="9062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7"/>
        <w:gridCol w:w="6514"/>
      </w:tblGrid>
      <w:tr>
        <w:trPr>
          <w:trHeight w:val="301" w:hRule="atLeast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left" w:pos="1810" w:leader="none"/>
              </w:tabs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сървърен UPS; Line-Interactive High Frequency (Pure Sinewave, Booster + Fader)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Интерфейс за комуникация, вход/изход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USB</w:t>
            </w:r>
            <w:r>
              <w:rPr>
                <w:color w:val="00000A"/>
                <w:sz w:val="20"/>
                <w:szCs w:val="20"/>
              </w:rPr>
              <w:t>; Network interface; SNMP v2;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(8) IEC-320-C13; C13; (1) IEC-320-C19; C19; Remotely controlled sockets 2 groups of 2 x IEC C13 (10 A)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Output Frequency 50/60 Hz +/- 0.1 % (autosensing)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Communication Ports 1 USB port + 1 RS232 serial port and relay contacts (USB and RS232 ports cannot be used simultaneously) + 1 mini terminal block for remote ON/OFF and Remote Power Off</w:t>
            </w:r>
          </w:p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Communications Card Slots 1 slot for NMC Minislot card (included)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Мин. </w:t>
            </w:r>
            <w:r>
              <w:rPr>
                <w:color w:val="00000A"/>
                <w:sz w:val="20"/>
                <w:szCs w:val="20"/>
                <w:lang w:val="en-US"/>
              </w:rPr>
              <w:t>3000VA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2U </w:t>
            </w:r>
            <w:r>
              <w:rPr>
                <w:color w:val="00000A"/>
                <w:sz w:val="20"/>
                <w:szCs w:val="20"/>
              </w:rPr>
              <w:t xml:space="preserve">rack mount </w:t>
            </w:r>
            <w:r>
              <w:rPr>
                <w:color w:val="00000A"/>
                <w:sz w:val="20"/>
                <w:szCs w:val="20"/>
                <w:lang w:val="en-US"/>
              </w:rPr>
              <w:t>compatible; Текло (kg) макс.:  38.08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Input Voltage Without Using Batteries 160V-294V (adjustable to 150V-294V)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Input frequency Range Without Using Batteries 47 to 70 Hz (50 Hz system), 56.5 to 70 Hz (60 Hz system), 40 Hz in low-sensitivity mode</w:t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Overload capability: up to 105% continuously; 125% x 5 min; 150% x 30 sec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50/60 Hz +/-10% (Auto-Selectable)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Efficiency (online mode): up to 93%</w:t>
            </w:r>
          </w:p>
        </w:tc>
      </w:tr>
      <w:tr>
        <w:trPr/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before="0" w:after="160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3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fa8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"/>
      <w:color w:val="00000A"/>
      <w:sz w:val="24"/>
      <w:szCs w:val="24"/>
      <w:lang w:val="en-GB" w:eastAsia="en-GB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1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Calibri" w:cs="Calibri"/>
      <w:b/>
      <w:sz w:val="23"/>
    </w:rPr>
  </w:style>
  <w:style w:type="character" w:styleId="ListLabel2" w:customStyle="1">
    <w:name w:val="ListLabel 2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3" w:customStyle="1">
    <w:name w:val="ListLabel 3"/>
    <w:qFormat/>
    <w:rPr>
      <w:rFonts w:cs="Calibri"/>
      <w:b/>
      <w:sz w:val="23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alibri"/>
      <w:b/>
      <w:sz w:val="23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alibri"/>
      <w:b/>
      <w:sz w:val="23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c59a6"/>
    <w:rPr>
      <w:color w:val="00000A"/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c59a6"/>
    <w:rPr>
      <w:color w:val="00000A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63e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GB" w:eastAsia="en-GB"/>
    </w:rPr>
  </w:style>
  <w:style w:type="character" w:styleId="ListLabel15" w:customStyle="1">
    <w:name w:val="ListLabel 15"/>
    <w:qFormat/>
    <w:rPr>
      <w:rFonts w:ascii="Times New Roman" w:hAnsi="Times New Roman" w:cs="Calibri"/>
      <w:b/>
      <w:sz w:val="23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StrongEmphasis" w:customStyle="1">
    <w:name w:val="Strong Emphasis"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WW8Num40z0" w:customStyle="1">
    <w:name w:val="WW8Num40z0"/>
    <w:qFormat/>
    <w:rPr>
      <w:rFonts w:ascii="Courier New" w:hAnsi="Courier New" w:cs="Courier New"/>
      <w:color w:val="000000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19" w:customStyle="1">
    <w:name w:val="ListLabel 19"/>
    <w:qFormat/>
    <w:rPr>
      <w:rFonts w:ascii="Times New Roman" w:hAnsi="Times New Roman" w:cs="Calibri"/>
      <w:b/>
      <w:sz w:val="23"/>
    </w:rPr>
  </w:style>
  <w:style w:type="character" w:styleId="ListLabel20" w:customStyle="1">
    <w:name w:val="ListLabel 20"/>
    <w:qFormat/>
    <w:rPr>
      <w:rFonts w:cs="Courier New"/>
      <w:sz w:val="20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ascii="Times New Roman" w:hAnsi="Times New Roman" w:cs="Calibri"/>
      <w:b/>
      <w:sz w:val="23"/>
    </w:rPr>
  </w:style>
  <w:style w:type="character" w:styleId="ListLabel24" w:customStyle="1">
    <w:name w:val="ListLabel 24"/>
    <w:qFormat/>
    <w:rPr>
      <w:rFonts w:cs="Courier New"/>
      <w:sz w:val="20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  <w:sz w:val="20"/>
    </w:rPr>
  </w:style>
  <w:style w:type="character" w:styleId="ListLabel27" w:customStyle="1">
    <w:name w:val="ListLabel 27"/>
    <w:qFormat/>
    <w:rPr>
      <w:rFonts w:ascii="Times New Roman" w:hAnsi="Times New Roman" w:cs="Calibri"/>
      <w:b/>
      <w:sz w:val="23"/>
    </w:rPr>
  </w:style>
  <w:style w:type="character" w:styleId="ListLabel28" w:customStyle="1">
    <w:name w:val="ListLabel 28"/>
    <w:qFormat/>
    <w:rPr>
      <w:rFonts w:cs="Courier New"/>
      <w:sz w:val="20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  <w:sz w:val="20"/>
    </w:rPr>
  </w:style>
  <w:style w:type="character" w:styleId="ListLabel31">
    <w:name w:val="ListLabel 31"/>
    <w:qFormat/>
    <w:rPr>
      <w:rFonts w:ascii="Times New Roman" w:hAnsi="Times New Roman" w:cs="Calibri"/>
      <w:b/>
      <w:sz w:val="23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ascii="Times New Roman" w:hAnsi="Times New Roman" w:cs="Calibri"/>
      <w:b/>
      <w:sz w:val="23"/>
    </w:rPr>
  </w:style>
  <w:style w:type="character" w:styleId="ListLabel36">
    <w:name w:val="ListLabel 36"/>
    <w:qFormat/>
    <w:rPr>
      <w:rFonts w:cs="Courier New"/>
      <w:sz w:val="20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ascii="Times New Roman" w:hAnsi="Times New Roman" w:cs="Calibri"/>
      <w:b/>
      <w:sz w:val="23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ascii="Times New Roman" w:hAnsi="Times New Roman" w:cs="Calibri"/>
      <w:b/>
      <w:sz w:val="23"/>
    </w:rPr>
  </w:style>
  <w:style w:type="character" w:styleId="ListLabel44">
    <w:name w:val="ListLabel 44"/>
    <w:qFormat/>
    <w:rPr>
      <w:rFonts w:cs="Courier New"/>
      <w:sz w:val="20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ascii="Times New Roman" w:hAnsi="Times New Roman" w:cs="Calibri"/>
      <w:b/>
      <w:sz w:val="23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ascii="Times New Roman" w:hAnsi="Times New Roman" w:cs="Calibri"/>
      <w:b/>
      <w:sz w:val="23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0"/>
    </w:rPr>
  </w:style>
  <w:style w:type="paragraph" w:styleId="Heading" w:customStyle="1">
    <w:name w:val="Heading"/>
    <w:basedOn w:val="Normal"/>
    <w:next w:val="TextBody"/>
    <w:qFormat/>
    <w:pPr>
      <w:keepNext/>
      <w:spacing w:lineRule="auto" w:line="259" w:before="240" w:after="120"/>
    </w:pPr>
    <w:rPr>
      <w:rFonts w:ascii="Liberation Sans" w:hAnsi="Liberation Sans" w:eastAsia="Droid Sans Fallback" w:cs="FreeSans"/>
      <w:sz w:val="28"/>
      <w:szCs w:val="28"/>
      <w:lang w:val="bg-BG" w:eastAsia="en-US"/>
    </w:rPr>
  </w:style>
  <w:style w:type="paragraph" w:styleId="TextBody" w:customStyle="1">
    <w:name w:val="Text Body"/>
    <w:basedOn w:val="Normal"/>
    <w:pPr>
      <w:spacing w:lineRule="auto" w:line="288" w:before="0" w:after="140"/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pacing w:lineRule="auto" w:line="259" w:before="0" w:after="160"/>
    </w:pPr>
    <w:rPr>
      <w:rFonts w:ascii="Calibri" w:hAnsi="Calibri" w:cs="FreeSans" w:asciiTheme="minorHAnsi" w:hAnsiTheme="minorHAnsi"/>
      <w:sz w:val="22"/>
      <w:szCs w:val="22"/>
      <w:lang w:val="bg-BG" w:eastAsia="en-US"/>
    </w:rPr>
  </w:style>
  <w:style w:type="paragraph" w:styleId="Caption1">
    <w:name w:val="caption"/>
    <w:basedOn w:val="Normal"/>
    <w:qFormat/>
    <w:pPr>
      <w:suppressLineNumbers/>
      <w:spacing w:lineRule="auto" w:line="259" w:before="120" w:after="120"/>
    </w:pPr>
    <w:rPr>
      <w:rFonts w:ascii="Calibri" w:hAnsi="Calibri" w:cs="FreeSans" w:asciiTheme="minorHAnsi" w:hAnsiTheme="minorHAnsi"/>
      <w:i/>
      <w:iCs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Default" w:customStyle="1">
    <w:name w:val="Default"/>
    <w:qFormat/>
    <w:rsid w:val="00744129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0"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pPr/>
    <w:rPr>
      <w:rFonts w:ascii="Segoe UI" w:hAnsi="Segoe UI" w:cs="Segoe UI"/>
      <w:sz w:val="18"/>
      <w:szCs w:val="18"/>
      <w:lang w:val="bg-BG" w:eastAsia="en-US"/>
    </w:rPr>
  </w:style>
  <w:style w:type="paragraph" w:styleId="TableContents" w:customStyle="1">
    <w:name w:val="Table Contents"/>
    <w:basedOn w:val="Normal"/>
    <w:qFormat/>
    <w:rsid w:val="00746063"/>
    <w:pPr>
      <w:suppressLineNumbers/>
      <w:spacing w:lineRule="auto" w:line="276"/>
    </w:pPr>
    <w:rPr>
      <w:rFonts w:ascii="Calibri" w:hAnsi="Calibri" w:eastAsia="DejaVu Sans" w:cs="Calibri"/>
      <w:sz w:val="22"/>
      <w:szCs w:val="22"/>
      <w:lang w:val="en-US" w:eastAsia="en-US"/>
    </w:rPr>
  </w:style>
  <w:style w:type="paragraph" w:styleId="TableHeading" w:customStyle="1">
    <w:name w:val="Table Heading"/>
    <w:basedOn w:val="TableContents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 w:leader="none"/>
        <w:tab w:val="right" w:pos="9072" w:leader="none"/>
      </w:tabs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 w:leader="none"/>
        <w:tab w:val="right" w:pos="9072" w:leader="none"/>
      </w:tabs>
    </w:pPr>
    <w:rPr>
      <w:rFonts w:ascii="Calibri" w:hAnsi="Calibri" w:asciiTheme="minorHAnsi" w:hAnsiTheme="minorHAns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paragraph" w:styleId="PreformattedText" w:customStyle="1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40" w:customStyle="1">
    <w:name w:val="WW8Num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2019-10-03T12:51:59Z</dcterms:created>
  <dc:language>en-US</dc:language>
  <dcterms:modified xsi:type="dcterms:W3CDTF">2019-10-03T13:04:17Z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