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b/>
          <w:b/>
          <w:color w:val="00000A"/>
          <w:sz w:val="22"/>
          <w:szCs w:val="22"/>
          <w:u w:val="single"/>
          <w:lang w:val="bg-BG" w:eastAsia="en-US"/>
        </w:rPr>
      </w:pPr>
      <w:r>
        <w:rPr>
          <w:rFonts w:cs="Times New Roman"/>
          <w:b/>
          <w:color w:val="00000A"/>
          <w:sz w:val="22"/>
          <w:szCs w:val="22"/>
          <w:u w:val="single"/>
          <w:lang w:val="bg-BG" w:eastAsia="en-US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A"/>
          <w:u w:val="single"/>
        </w:rPr>
        <w:t>МОНИТОРИ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70AD47" w:themeColor="accent6"/>
        </w:rPr>
      </w:pPr>
      <w:r>
        <w:rPr>
          <w:rFonts w:cs="Times New Roman" w:ascii="Times New Roman" w:hAnsi="Times New Roman"/>
          <w:color w:val="00000A"/>
        </w:rPr>
        <w:t xml:space="preserve">ФИКСИРАНА КОНФИГУРАЦИЯ </w:t>
      </w:r>
    </w:p>
    <w:p>
      <w:pPr>
        <w:pStyle w:val="Default"/>
        <w:numPr>
          <w:ilvl w:val="0"/>
          <w:numId w:val="2"/>
        </w:numPr>
        <w:rPr/>
      </w:pPr>
      <w:r>
        <w:rPr>
          <w:rFonts w:cs="Times New Roman" w:ascii="Times New Roman" w:hAnsi="Times New Roman"/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rFonts w:cs="Times New Roman" w:ascii="Times New Roman" w:hAnsi="Times New Roman"/>
          <w:i/>
          <w:iCs/>
          <w:color w:val="00000A"/>
          <w:sz w:val="23"/>
          <w:szCs w:val="23"/>
          <w:lang w:val="en-US"/>
        </w:rPr>
        <w:t>50</w:t>
      </w:r>
      <w:r>
        <w:rPr>
          <w:rFonts w:cs="Times New Roman" w:ascii="Times New Roman" w:hAnsi="Times New Roman"/>
          <w:b/>
          <w:i/>
          <w:iCs/>
          <w:color w:val="00000A"/>
          <w:sz w:val="23"/>
          <w:szCs w:val="23"/>
        </w:rPr>
        <w:t xml:space="preserve"> бр.</w:t>
      </w:r>
    </w:p>
    <w:tbl>
      <w:tblPr>
        <w:tblStyle w:val="TableGrid"/>
        <w:tblW w:w="9062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2"/>
        <w:gridCol w:w="6939"/>
      </w:tblGrid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Размер на екрана: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color w:val="00000A"/>
                <w:sz w:val="20"/>
                <w:szCs w:val="20"/>
              </w:rPr>
              <w:t xml:space="preserve">Мин </w:t>
            </w:r>
            <w:r>
              <w:rPr>
                <w:rFonts w:eastAsia="Times New Roman" w:cs="Times New Roman"/>
                <w:color w:val="00000A"/>
                <w:sz w:val="20"/>
                <w:szCs w:val="20"/>
                <w:shd w:fill="FFFFFF" w:val="clear"/>
              </w:rPr>
              <w:t>21.5"</w:t>
            </w:r>
            <w:r>
              <w:rPr>
                <w:rFonts w:cs="Times New Roman"/>
                <w:color w:val="00000A"/>
                <w:sz w:val="20"/>
                <w:szCs w:val="20"/>
              </w:rPr>
              <w:t>; 16:9;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Резолюция: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Мин 1920х1080 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Технология: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LED;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Яркост: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300 cd/m² 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Време за реакция: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5 ms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Честота на опресняване, Hz: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60Hz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Изходи: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D-SUB;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val="en-US"/>
              </w:rPr>
              <w:t>HDMI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Статичен контраст: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1000:1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Динамичен контраст: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10 000 000:1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70AD47" w:themeColor="accent6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/>
              </w:rPr>
              <w:t xml:space="preserve">Ъгъл на видимост </w:t>
            </w:r>
            <w:r>
              <w:rPr>
                <w:rFonts w:eastAsia="Times New Roman" w:cs="Times New Roman"/>
                <w:color w:val="00000A"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ru-RU"/>
              </w:rPr>
              <w:t xml:space="preserve">/ </w:t>
            </w:r>
            <w:r>
              <w:rPr>
                <w:rFonts w:eastAsia="Times New Roman" w:cs="Times New Roman"/>
                <w:color w:val="00000A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ru-RU"/>
              </w:rPr>
              <w:t>: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170° / 160°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70AD47" w:themeColor="accent6"/>
                <w:sz w:val="20"/>
                <w:szCs w:val="20"/>
                <w:lang w:val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cs="Times New Roman"/>
                <w:color w:val="00000A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>
      <w:pPr>
        <w:pStyle w:val="ListParagraph"/>
        <w:ind w:left="1080" w:hanging="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70AD47" w:themeColor="accent6"/>
        </w:rPr>
      </w:pPr>
      <w:r>
        <w:rPr>
          <w:rFonts w:cs="Times New Roman" w:ascii="Times New Roman" w:hAnsi="Times New Roman"/>
          <w:color w:val="00000A"/>
        </w:rPr>
        <w:t xml:space="preserve">ФИКСИРАНА КОНФИГУРАЦИЯ </w:t>
      </w:r>
    </w:p>
    <w:p>
      <w:pPr>
        <w:pStyle w:val="Default"/>
        <w:numPr>
          <w:ilvl w:val="0"/>
          <w:numId w:val="2"/>
        </w:numPr>
        <w:rPr/>
      </w:pPr>
      <w:r>
        <w:rPr>
          <w:rFonts w:cs="Times New Roman" w:ascii="Times New Roman" w:hAnsi="Times New Roman"/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rFonts w:cs="Times New Roman" w:ascii="Times New Roman" w:hAnsi="Times New Roman"/>
          <w:i/>
          <w:iCs/>
          <w:color w:val="00000A"/>
          <w:sz w:val="23"/>
          <w:szCs w:val="23"/>
          <w:lang w:val="en-US"/>
        </w:rPr>
        <w:t>4</w:t>
      </w:r>
      <w:r>
        <w:rPr>
          <w:rFonts w:cs="Times New Roman" w:ascii="Times New Roman" w:hAnsi="Times New Roman"/>
          <w:b/>
          <w:i/>
          <w:iCs/>
          <w:color w:val="00000A"/>
          <w:sz w:val="23"/>
          <w:szCs w:val="23"/>
        </w:rPr>
        <w:t xml:space="preserve"> бр.</w:t>
      </w:r>
    </w:p>
    <w:tbl>
      <w:tblPr>
        <w:tblStyle w:val="TableGrid"/>
        <w:tblW w:w="9062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2"/>
        <w:gridCol w:w="6939"/>
      </w:tblGrid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Размер на екрана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70AD47" w:themeColor="accent6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shd w:fill="FFFFFF" w:val="clear"/>
              </w:rPr>
              <w:t xml:space="preserve">23.5"; </w:t>
            </w:r>
            <w:r>
              <w:rPr>
                <w:rFonts w:cs="Times New Roman"/>
                <w:color w:val="00000A"/>
                <w:sz w:val="20"/>
                <w:szCs w:val="20"/>
              </w:rPr>
              <w:t>16:9</w:t>
            </w:r>
          </w:p>
        </w:tc>
      </w:tr>
      <w:tr>
        <w:trPr>
          <w:trHeight w:val="264" w:hRule="atLeast"/>
        </w:trPr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Резолюция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Мин. 1920х1080 на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val="en-US"/>
              </w:rPr>
              <w:t>60 Hz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cs="Times New Roman"/>
                <w:color w:val="70AD47" w:themeColor="accent6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/>
              </w:rPr>
              <w:t xml:space="preserve">Ъгъл на видимост </w:t>
            </w:r>
            <w:r>
              <w:rPr>
                <w:rFonts w:eastAsia="Times New Roman" w:cs="Times New Roman"/>
                <w:color w:val="00000A"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ru-RU"/>
              </w:rPr>
              <w:t>/</w:t>
            </w:r>
            <w:r>
              <w:rPr>
                <w:rFonts w:eastAsia="Times New Roman" w:cs="Times New Roman"/>
                <w:color w:val="00000A"/>
                <w:sz w:val="20"/>
                <w:szCs w:val="20"/>
              </w:rPr>
              <w:t>V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170° / 160°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Яркост: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250 cd/m² 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Време за реакция: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5 ms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Контраст: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1000:1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70AD47" w:themeColor="accent6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/>
              </w:rPr>
              <w:t xml:space="preserve">Ъгъл на видимост </w:t>
            </w:r>
            <w:r>
              <w:rPr>
                <w:rFonts w:eastAsia="Times New Roman" w:cs="Times New Roman"/>
                <w:color w:val="00000A"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ru-RU"/>
              </w:rPr>
              <w:t xml:space="preserve">/ </w:t>
            </w:r>
            <w:r>
              <w:rPr>
                <w:rFonts w:eastAsia="Times New Roman" w:cs="Times New Roman"/>
                <w:color w:val="00000A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val="ru-RU"/>
              </w:rPr>
              <w:t>: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170° / 160°</w:t>
            </w:r>
          </w:p>
        </w:tc>
      </w:tr>
      <w:tr>
        <w:trPr>
          <w:trHeight w:val="292" w:hRule="atLeast"/>
        </w:trPr>
        <w:tc>
          <w:tcPr>
            <w:tcW w:w="2122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70AD47" w:themeColor="accent6"/>
                <w:sz w:val="20"/>
                <w:szCs w:val="20"/>
                <w:lang w:val="bg-BG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bg-BG"/>
              </w:rPr>
              <w:t>Брой цветове: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16.7 милиона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bg-BG"/>
              </w:rPr>
              <w:t>Портове: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70AD47" w:themeColor="accent6"/>
                <w:sz w:val="20"/>
                <w:szCs w:val="20"/>
                <w:lang w:val="bg-BG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1 x HDMI</w:t>
              <w:br/>
              <w:t>1 x VGA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70AD47" w:themeColor="accent6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70AD47" w:themeColor="accent6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A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>
      <w:pPr>
        <w:pStyle w:val="ListParagraph"/>
        <w:ind w:left="1080" w:hanging="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ListParagrap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00000A"/>
        </w:rPr>
        <w:t xml:space="preserve">ФИКСИРАНА КОНФИГУРАЦИЯ </w:t>
      </w:r>
    </w:p>
    <w:p>
      <w:pPr>
        <w:pStyle w:val="Default"/>
        <w:numPr>
          <w:ilvl w:val="0"/>
          <w:numId w:val="2"/>
        </w:numPr>
        <w:rPr/>
      </w:pPr>
      <w:r>
        <w:rPr>
          <w:rFonts w:cs="Times New Roman" w:ascii="Times New Roman" w:hAnsi="Times New Roman"/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rFonts w:cs="Times New Roman" w:ascii="Times New Roman" w:hAnsi="Times New Roman"/>
          <w:i/>
          <w:iCs/>
          <w:color w:val="00000A"/>
          <w:sz w:val="23"/>
          <w:szCs w:val="23"/>
          <w:lang w:val="en-US"/>
        </w:rPr>
        <w:t>6</w:t>
      </w:r>
      <w:r>
        <w:rPr>
          <w:rFonts w:cs="Times New Roman" w:ascii="Times New Roman" w:hAnsi="Times New Roman"/>
          <w:b/>
          <w:i/>
          <w:iCs/>
          <w:color w:val="00000A"/>
          <w:sz w:val="23"/>
          <w:szCs w:val="23"/>
        </w:rPr>
        <w:t xml:space="preserve"> бр.</w:t>
      </w:r>
      <w:r>
        <w:rPr>
          <w:rFonts w:cs="Times New Roman" w:ascii="Times New Roman" w:hAnsi="Times New Roman"/>
          <w:color w:val="00000A"/>
        </w:rPr>
        <w:t xml:space="preserve"> </w:t>
      </w:r>
    </w:p>
    <w:tbl>
      <w:tblPr>
        <w:tblStyle w:val="TableGrid"/>
        <w:tblW w:w="9062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2"/>
        <w:gridCol w:w="6939"/>
      </w:tblGrid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Размер на екрана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000A"/>
              </w:rPr>
            </w:pPr>
            <w:r>
              <w:rPr>
                <w:rFonts w:cs="Times New Roman"/>
                <w:color w:val="00000A"/>
                <w:sz w:val="20"/>
                <w:szCs w:val="20"/>
                <w:lang w:val="bg-BG"/>
              </w:rPr>
              <w:t>Мин. 27“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Резолюция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 xml:space="preserve">Мин </w:t>
            </w:r>
            <w:r>
              <w:rPr>
                <w:rFonts w:eastAsia="Times New Roman" w:cs="Times New Roman"/>
                <w:color w:val="00000A"/>
                <w:sz w:val="20"/>
                <w:szCs w:val="20"/>
              </w:rPr>
              <w:t>1920x1080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FF0000"/>
                <w:sz w:val="20"/>
                <w:szCs w:val="20"/>
                <w:lang w:val="bg-BG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Вид на екрана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Flat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FF0000"/>
                <w:sz w:val="20"/>
                <w:szCs w:val="20"/>
                <w:lang w:val="bg-BG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Широкоекранен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16:9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FF0000"/>
                <w:sz w:val="20"/>
                <w:szCs w:val="20"/>
                <w:lang w:val="bg-BG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Технология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LED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FF0000"/>
                <w:sz w:val="20"/>
                <w:szCs w:val="20"/>
                <w:lang w:val="bg-BG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Тип на матрицата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IPS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Време за реакция, ms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000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8ms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Честота на опресняване, Hz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60Hz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val="en-GB"/>
              </w:rPr>
              <w:t>Яркост, cd/m2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val="en-GB"/>
              </w:rPr>
              <w:t>250cd/m2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val="en-GB"/>
              </w:rPr>
              <w:t>Статичен контраст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1 000:1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Динамичен контраст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1 000:1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Ъгъл на видимост H/ V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178° / 178°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Стандарти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TCO-certified, RoHS compliant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  <w:t>VGA; HDMI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A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>
      <w:pPr>
        <w:pStyle w:val="ListParagraph"/>
        <w:numPr>
          <w:ilvl w:val="1"/>
          <w:numId w:val="1"/>
        </w:numPr>
        <w:rPr/>
      </w:pPr>
      <w:bookmarkStart w:id="2" w:name="__DdeLink__118499_150042177"/>
      <w:bookmarkEnd w:id="2"/>
      <w:r>
        <w:rPr>
          <w:rFonts w:cs="Times New Roman" w:ascii="Times New Roman" w:hAnsi="Times New Roman"/>
          <w:color w:val="00000A"/>
        </w:rPr>
        <w:t xml:space="preserve">ФИКСИРАНА КОНФИГУРАЦИЯ </w:t>
      </w:r>
    </w:p>
    <w:p>
      <w:pPr>
        <w:pStyle w:val="Default"/>
        <w:numPr>
          <w:ilvl w:val="0"/>
          <w:numId w:val="2"/>
        </w:numPr>
        <w:rPr>
          <w:color w:val="00CC33"/>
        </w:rPr>
      </w:pPr>
      <w:r>
        <w:rPr>
          <w:rFonts w:cs="Times New Roman" w:ascii="Times New Roman" w:hAnsi="Times New Roman"/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rFonts w:cs="Times New Roman" w:ascii="Times New Roman" w:hAnsi="Times New Roman"/>
          <w:i/>
          <w:iCs/>
          <w:color w:val="00000A"/>
          <w:sz w:val="23"/>
          <w:szCs w:val="23"/>
          <w:lang w:val="en-US"/>
        </w:rPr>
        <w:t>3</w:t>
      </w:r>
      <w:r>
        <w:rPr>
          <w:rFonts w:cs="Times New Roman" w:ascii="Times New Roman" w:hAnsi="Times New Roman"/>
          <w:b/>
          <w:i/>
          <w:iCs/>
          <w:color w:val="00000A"/>
          <w:sz w:val="23"/>
          <w:szCs w:val="23"/>
        </w:rPr>
        <w:t xml:space="preserve"> бр.</w:t>
      </w:r>
      <w:r>
        <w:rPr>
          <w:rFonts w:cs="Times New Roman" w:ascii="Times New Roman" w:hAnsi="Times New Roman"/>
          <w:color w:val="00000A"/>
        </w:rPr>
        <w:t xml:space="preserve"> </w:t>
      </w:r>
    </w:p>
    <w:tbl>
      <w:tblPr>
        <w:tblStyle w:val="TableGrid"/>
        <w:tblW w:w="9062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2"/>
        <w:gridCol w:w="6939"/>
      </w:tblGrid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Размер на екрана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cs="Times New Roman"/>
                <w:color w:val="00000A"/>
                <w:sz w:val="20"/>
                <w:szCs w:val="20"/>
                <w:lang w:val="bg-BG"/>
              </w:rPr>
              <w:t>Мин. 34“</w:t>
            </w:r>
            <w:r>
              <w:rPr>
                <w:rFonts w:cs="Times New Roman"/>
                <w:color w:val="00000A"/>
                <w:sz w:val="20"/>
                <w:szCs w:val="20"/>
              </w:rPr>
              <w:t xml:space="preserve"> (86,704 cm)</w:t>
            </w:r>
          </w:p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Style w:val="StrongEmphasis"/>
                <w:rFonts w:cs="Times New Roman"/>
                <w:color w:val="00000A"/>
                <w:sz w:val="20"/>
                <w:szCs w:val="20"/>
              </w:rPr>
              <w:t>Preset Display Area (H x V)</w:t>
            </w:r>
            <w:r>
              <w:rPr>
                <w:rFonts w:cs="Times New Roman"/>
                <w:color w:val="00000A"/>
                <w:sz w:val="20"/>
                <w:szCs w:val="20"/>
              </w:rPr>
              <w:br/>
              <w:t>799.80 mm x 334.80 mm</w:t>
              <w:br/>
              <w:t>31.49" x 13.18"</w:t>
              <w:br/>
              <w:t>267,773.04 mm2 (415.01 inches 2)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Резолюция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000A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 xml:space="preserve">Мин </w:t>
            </w:r>
            <w:r>
              <w:rPr>
                <w:rFonts w:eastAsia="Times New Roman" w:cs="Times New Roman"/>
                <w:color w:val="00000A"/>
                <w:sz w:val="20"/>
                <w:szCs w:val="20"/>
              </w:rPr>
              <w:t>2560 x 1080 at 60 Hz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Вид на екрана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Curved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Широкоекранен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21:9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Технология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LED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Тип на матрицата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IPS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Разстояние м/у точките, mm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000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0.312 mm x 0.310 mm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Време за реакция, ms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Макс. 8ms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Честота на опресняване, Hz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60Hz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color w:val="00CC33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val="en-GB"/>
              </w:rPr>
              <w:t>Яркост, cd/m2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color w:val="00CC33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val="en-GB"/>
              </w:rPr>
              <w:t>300cd/m2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>
                <w:color w:val="00CC33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val="en-GB"/>
              </w:rPr>
              <w:t>Статичен контраст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1 000:1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Динамичен контраст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1 000:1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Стандарти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TCO-certified, RoHS compliant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CC33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Поддръжка на цветова гама</w:t>
            </w:r>
          </w:p>
          <w:p>
            <w:pPr>
              <w:pStyle w:val="Normal"/>
              <w:spacing w:lineRule="auto" w:line="240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  <w:t>Color Gamut (typical):</w:t>
              <w:br/>
              <w:t>99% sRGB</w:t>
              <w:br/>
              <w:t>Color Depth:</w:t>
              <w:br/>
              <w:t>16.7 Million colors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 характеристики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 x HDMI 2.0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DisplayPort 1.2 цифров вход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 x USB 3.0 Upstream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4 x USB 3.0 Downstream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 x USB Type C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Security Slot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PVC/BFR Free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Picture By Picture (PBP)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Picture In Picture (PIP)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Звук:</w:t>
              <w:tab/>
              <w:tab/>
              <w:t>Тонколони 2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Стойка: Завъртене около оста си, Регулираща се по височина, Регулиращ се наклон на дисплея</w:t>
            </w:r>
          </w:p>
        </w:tc>
      </w:tr>
      <w:tr>
        <w:trPr/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color w:val="00CC33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color w:val="00000A"/>
                <w:sz w:val="20"/>
                <w:szCs w:val="20"/>
                <w:lang w:val="ru-RU"/>
              </w:rPr>
              <w:t>Мин. 3 години от производителя (обслужване на място в рамките на 2 дни)</w:t>
            </w:r>
          </w:p>
        </w:tc>
      </w:tr>
    </w:tbl>
    <w:p>
      <w:pPr>
        <w:pStyle w:val="ListParagraph"/>
        <w:rPr>
          <w:rFonts w:ascii="Times New Roman" w:hAnsi="Times New Roman" w:cs="Times New Roman"/>
          <w:color w:val="00000A"/>
          <w:lang w:val="ru-RU"/>
        </w:rPr>
      </w:pPr>
      <w:r>
        <w:rPr>
          <w:rFonts w:cs="Times New Roman" w:ascii="Times New Roman" w:hAnsi="Times New Roman"/>
          <w:color w:val="00000A"/>
          <w:lang w:val="ru-RU"/>
        </w:rPr>
      </w:r>
    </w:p>
    <w:p>
      <w:pPr>
        <w:pStyle w:val="ListParagraph"/>
        <w:numPr>
          <w:ilvl w:val="1"/>
          <w:numId w:val="1"/>
        </w:numPr>
        <w:rPr/>
      </w:pPr>
      <w:r>
        <w:rPr>
          <w:rFonts w:cs="Times New Roman" w:ascii="Times New Roman" w:hAnsi="Times New Roman"/>
          <w:color w:val="00000A"/>
        </w:rPr>
        <w:t xml:space="preserve">ФИКСИРАНА КОНФИГУРАЦИЯ </w:t>
      </w:r>
    </w:p>
    <w:p>
      <w:pPr>
        <w:pStyle w:val="Default"/>
        <w:numPr>
          <w:ilvl w:val="0"/>
          <w:numId w:val="2"/>
        </w:numPr>
        <w:rPr/>
      </w:pPr>
      <w:r>
        <w:rPr>
          <w:rFonts w:cs="Times New Roman" w:ascii="Times New Roman" w:hAnsi="Times New Roman"/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rFonts w:cs="Times New Roman" w:ascii="Times New Roman" w:hAnsi="Times New Roman"/>
          <w:i/>
          <w:iCs/>
          <w:color w:val="00000A"/>
          <w:sz w:val="23"/>
          <w:szCs w:val="23"/>
          <w:lang w:val="en-US"/>
        </w:rPr>
        <w:t>3</w:t>
      </w:r>
      <w:r>
        <w:rPr>
          <w:rFonts w:cs="Times New Roman" w:ascii="Times New Roman" w:hAnsi="Times New Roman"/>
          <w:b/>
          <w:i/>
          <w:iCs/>
          <w:color w:val="00000A"/>
          <w:sz w:val="23"/>
          <w:szCs w:val="23"/>
        </w:rPr>
        <w:t xml:space="preserve"> бр.</w:t>
      </w:r>
      <w:r>
        <w:rPr>
          <w:rFonts w:cs="Times New Roman" w:ascii="Times New Roman" w:hAnsi="Times New Roman"/>
          <w:color w:val="00000A"/>
        </w:rPr>
        <w:t xml:space="preserve"> </w:t>
      </w:r>
    </w:p>
    <w:tbl>
      <w:tblPr>
        <w:tblStyle w:val="TableGrid"/>
        <w:tblW w:w="9062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2"/>
        <w:gridCol w:w="6939"/>
      </w:tblGrid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color w:val="00000A"/>
                <w:sz w:val="20"/>
                <w:szCs w:val="20"/>
              </w:rPr>
              <w:t>Размер на екрана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color w:val="00000A"/>
                <w:sz w:val="20"/>
                <w:szCs w:val="20"/>
                <w:lang w:val="bg-BG"/>
              </w:rPr>
              <w:t>Мин. 32“</w:t>
            </w:r>
            <w:r>
              <w:rPr>
                <w:rFonts w:cs="Times New Roman"/>
                <w:color w:val="00000A"/>
                <w:sz w:val="20"/>
                <w:szCs w:val="20"/>
              </w:rPr>
              <w:t xml:space="preserve"> (81,28 cm)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color w:val="00000A"/>
                <w:sz w:val="20"/>
                <w:szCs w:val="20"/>
              </w:rPr>
              <w:t>Резолюция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color w:val="00000A"/>
                <w:sz w:val="20"/>
                <w:szCs w:val="20"/>
              </w:rPr>
              <w:t>Мин. 3840 х 2160 4К</w:t>
            </w:r>
            <w:r>
              <w:rPr>
                <w:rFonts w:eastAsia="Times New Roman" w:cs="Times New Roman"/>
                <w:color w:val="00000A"/>
                <w:sz w:val="20"/>
                <w:szCs w:val="20"/>
              </w:rPr>
              <w:t xml:space="preserve"> at 60 Hz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color w:val="00000A"/>
                <w:sz w:val="20"/>
                <w:szCs w:val="20"/>
              </w:rPr>
              <w:t>Вид на екрана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Подходящ за обработка на висококачествени графични избображения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color w:val="00000A"/>
                <w:sz w:val="20"/>
                <w:szCs w:val="20"/>
              </w:rPr>
              <w:t>Широкоекранен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16:9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color w:val="00000A"/>
                <w:sz w:val="20"/>
                <w:szCs w:val="20"/>
              </w:rPr>
              <w:t>Технология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LED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Тип на матрицата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IPS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Разстояние м/у точките, mm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0.311 mm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color w:val="00000A"/>
                <w:sz w:val="20"/>
                <w:szCs w:val="20"/>
              </w:rPr>
              <w:t>Време за реакция, ms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Макс. 8ms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color w:val="00000A"/>
                <w:sz w:val="20"/>
                <w:szCs w:val="20"/>
              </w:rPr>
              <w:t>Честота на опресняване, Hz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От 30 до 76 Hz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val="en-GB"/>
              </w:rPr>
              <w:t>Яркост, cd/m2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val="en-GB"/>
              </w:rPr>
              <w:t>Мин. 300cd/m2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Default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val="en-GB"/>
              </w:rPr>
              <w:t>Статичен контраст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1 000:1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Динамичен контраст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20 000:1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Стандарти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TCO-certified, RoHS compliant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Поддръжка на цветова гама</w:t>
            </w:r>
          </w:p>
          <w:p>
            <w:pPr>
              <w:pStyle w:val="Normal"/>
              <w:spacing w:lineRule="auto" w:line="240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  <w:vAlign w:val="bottom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  <w:t>Color Gamut (typical):</w:t>
              <w:br/>
              <w:t>99% sRGB</w:t>
              <w:br/>
              <w:t>Color Depth:</w:t>
              <w:br/>
              <w:t>16.7 Million colors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 характеристики</w:t>
            </w:r>
          </w:p>
        </w:tc>
        <w:tc>
          <w:tcPr>
            <w:tcW w:w="6939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Аудио вход за микрофон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Аудио изход за слушалки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MiniDisplayPort цифров вход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DisplayPort цифров вход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HDMI 2.0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 х USB 3.0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CAD/CAM режим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Animation режим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Flicker Free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HDCP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AMA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Picture By Picture (PBP)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Picture In Picture (PIP)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Energy Star 7.0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TCO Certified Displays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EPEAT Silver</w:t>
            </w:r>
          </w:p>
        </w:tc>
      </w:tr>
      <w:tr>
        <w:trPr/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color w:val="00000A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color w:val="00000A"/>
                <w:sz w:val="20"/>
                <w:szCs w:val="20"/>
                <w:lang w:val="ru-RU"/>
              </w:rPr>
              <w:t>Мин. 3 години от производителя (обслужване на място в рамките на 2 дни)</w:t>
            </w:r>
          </w:p>
        </w:tc>
      </w:tr>
    </w:tbl>
    <w:p>
      <w:pPr>
        <w:pStyle w:val="ListParagraph"/>
        <w:spacing w:before="0" w:after="16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3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3fa8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Calibri" w:cs=""/>
      <w:color w:val="00000A"/>
      <w:sz w:val="24"/>
      <w:szCs w:val="24"/>
      <w:lang w:val="en-GB" w:eastAsia="en-GB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e18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44129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eastAsia="Calibri" w:cs="Calibri"/>
      <w:b/>
      <w:sz w:val="23"/>
    </w:rPr>
  </w:style>
  <w:style w:type="character" w:styleId="ListLabel2" w:customStyle="1">
    <w:name w:val="ListLabel 2"/>
    <w:qFormat/>
    <w:rPr>
      <w:rFonts w:cs="Courier New"/>
    </w:rPr>
  </w:style>
  <w:style w:type="character" w:styleId="NumberingSymbols" w:customStyle="1">
    <w:name w:val="Numbering Symbols"/>
    <w:qFormat/>
    <w:rPr/>
  </w:style>
  <w:style w:type="character" w:styleId="ListLabel3" w:customStyle="1">
    <w:name w:val="ListLabel 3"/>
    <w:qFormat/>
    <w:rPr>
      <w:rFonts w:cs="Calibri"/>
      <w:b/>
      <w:sz w:val="23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alibri"/>
      <w:b/>
      <w:sz w:val="23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alibri"/>
      <w:b/>
      <w:sz w:val="23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c59a6"/>
    <w:rPr>
      <w:color w:val="00000A"/>
      <w:sz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c59a6"/>
    <w:rPr>
      <w:color w:val="00000A"/>
      <w:sz w:val="2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b63e1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val="en-GB" w:eastAsia="en-GB"/>
    </w:rPr>
  </w:style>
  <w:style w:type="character" w:styleId="ListLabel15" w:customStyle="1">
    <w:name w:val="ListLabel 15"/>
    <w:qFormat/>
    <w:rPr>
      <w:rFonts w:ascii="Times New Roman" w:hAnsi="Times New Roman" w:cs="Calibri"/>
      <w:b/>
      <w:sz w:val="23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Symbol"/>
    </w:rPr>
  </w:style>
  <w:style w:type="character" w:styleId="StrongEmphasis" w:customStyle="1">
    <w:name w:val="Strong Emphasis"/>
    <w:rPr>
      <w:b/>
      <w:bCs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WW8Num40z0" w:customStyle="1">
    <w:name w:val="WW8Num40z0"/>
    <w:qFormat/>
    <w:rPr>
      <w:rFonts w:ascii="Courier New" w:hAnsi="Courier New" w:cs="Courier New"/>
      <w:color w:val="000000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3" w:customStyle="1">
    <w:name w:val="WW8Num40z3"/>
    <w:qFormat/>
    <w:rPr>
      <w:rFonts w:ascii="Symbol" w:hAnsi="Symbol" w:cs="Symbol"/>
    </w:rPr>
  </w:style>
  <w:style w:type="character" w:styleId="InternetLink" w:customStyle="1">
    <w:name w:val="Internet Link"/>
    <w:rPr>
      <w:color w:val="000080"/>
      <w:u w:val="single"/>
    </w:rPr>
  </w:style>
  <w:style w:type="character" w:styleId="ListLabel19" w:customStyle="1">
    <w:name w:val="ListLabel 19"/>
    <w:qFormat/>
    <w:rPr>
      <w:rFonts w:ascii="Times New Roman" w:hAnsi="Times New Roman" w:cs="Calibri"/>
      <w:b/>
      <w:sz w:val="23"/>
    </w:rPr>
  </w:style>
  <w:style w:type="character" w:styleId="ListLabel20" w:customStyle="1">
    <w:name w:val="ListLabel 20"/>
    <w:qFormat/>
    <w:rPr>
      <w:rFonts w:cs="Courier New"/>
      <w:sz w:val="20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ascii="Times New Roman" w:hAnsi="Times New Roman" w:cs="Calibri"/>
      <w:b/>
      <w:sz w:val="23"/>
    </w:rPr>
  </w:style>
  <w:style w:type="character" w:styleId="ListLabel24" w:customStyle="1">
    <w:name w:val="ListLabel 24"/>
    <w:qFormat/>
    <w:rPr>
      <w:rFonts w:cs="Courier New"/>
      <w:sz w:val="20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  <w:sz w:val="20"/>
    </w:rPr>
  </w:style>
  <w:style w:type="character" w:styleId="ListLabel27" w:customStyle="1">
    <w:name w:val="ListLabel 27"/>
    <w:qFormat/>
    <w:rPr>
      <w:rFonts w:ascii="Times New Roman" w:hAnsi="Times New Roman" w:cs="Calibri"/>
      <w:b/>
      <w:sz w:val="23"/>
    </w:rPr>
  </w:style>
  <w:style w:type="character" w:styleId="ListLabel28" w:customStyle="1">
    <w:name w:val="ListLabel 28"/>
    <w:qFormat/>
    <w:rPr>
      <w:rFonts w:cs="Courier New"/>
      <w:sz w:val="20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Symbol"/>
      <w:sz w:val="20"/>
    </w:rPr>
  </w:style>
  <w:style w:type="character" w:styleId="ListLabel31">
    <w:name w:val="ListLabel 31"/>
    <w:qFormat/>
    <w:rPr>
      <w:rFonts w:ascii="Times New Roman" w:hAnsi="Times New Roman" w:cs="Calibri"/>
      <w:b/>
      <w:sz w:val="23"/>
    </w:rPr>
  </w:style>
  <w:style w:type="character" w:styleId="ListLabel32">
    <w:name w:val="ListLabel 32"/>
    <w:qFormat/>
    <w:rPr>
      <w:rFonts w:cs="Courier New"/>
      <w:sz w:val="20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sz w:val="20"/>
    </w:rPr>
  </w:style>
  <w:style w:type="character" w:styleId="ListLabel35">
    <w:name w:val="ListLabel 35"/>
    <w:qFormat/>
    <w:rPr>
      <w:rFonts w:ascii="Times New Roman" w:hAnsi="Times New Roman" w:cs="Calibri"/>
      <w:b/>
      <w:sz w:val="23"/>
    </w:rPr>
  </w:style>
  <w:style w:type="character" w:styleId="ListLabel36">
    <w:name w:val="ListLabel 36"/>
    <w:qFormat/>
    <w:rPr>
      <w:rFonts w:cs="Courier New"/>
      <w:sz w:val="20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  <w:sz w:val="20"/>
    </w:rPr>
  </w:style>
  <w:style w:type="character" w:styleId="ListLabel39">
    <w:name w:val="ListLabel 39"/>
    <w:qFormat/>
    <w:rPr>
      <w:rFonts w:ascii="Times New Roman" w:hAnsi="Times New Roman" w:cs="Calibri"/>
      <w:b/>
      <w:sz w:val="23"/>
    </w:rPr>
  </w:style>
  <w:style w:type="character" w:styleId="ListLabel40">
    <w:name w:val="ListLabel 40"/>
    <w:qFormat/>
    <w:rPr>
      <w:rFonts w:cs="Courier New"/>
      <w:sz w:val="20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  <w:sz w:val="20"/>
    </w:rPr>
  </w:style>
  <w:style w:type="character" w:styleId="ListLabel43">
    <w:name w:val="ListLabel 43"/>
    <w:qFormat/>
    <w:rPr>
      <w:rFonts w:ascii="Times New Roman" w:hAnsi="Times New Roman" w:cs="Calibri"/>
      <w:b/>
      <w:sz w:val="23"/>
    </w:rPr>
  </w:style>
  <w:style w:type="character" w:styleId="ListLabel44">
    <w:name w:val="ListLabel 44"/>
    <w:qFormat/>
    <w:rPr>
      <w:rFonts w:cs="Courier New"/>
      <w:sz w:val="20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  <w:sz w:val="20"/>
    </w:rPr>
  </w:style>
  <w:style w:type="character" w:styleId="ListLabel47">
    <w:name w:val="ListLabel 47"/>
    <w:qFormat/>
    <w:rPr>
      <w:rFonts w:ascii="Times New Roman" w:hAnsi="Times New Roman" w:cs="Calibri"/>
      <w:b/>
      <w:sz w:val="23"/>
    </w:rPr>
  </w:style>
  <w:style w:type="character" w:styleId="ListLabel48">
    <w:name w:val="ListLabel 48"/>
    <w:qFormat/>
    <w:rPr>
      <w:rFonts w:cs="Courier New"/>
      <w:sz w:val="20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  <w:sz w:val="20"/>
    </w:rPr>
  </w:style>
  <w:style w:type="character" w:styleId="ListLabel51">
    <w:name w:val="ListLabel 51"/>
    <w:qFormat/>
    <w:rPr>
      <w:rFonts w:ascii="Times New Roman" w:hAnsi="Times New Roman" w:cs="Calibri"/>
      <w:b/>
      <w:sz w:val="23"/>
    </w:rPr>
  </w:style>
  <w:style w:type="character" w:styleId="ListLabel52">
    <w:name w:val="ListLabel 52"/>
    <w:qFormat/>
    <w:rPr>
      <w:rFonts w:cs="Courier New"/>
      <w:sz w:val="20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  <w:sz w:val="20"/>
    </w:rPr>
  </w:style>
  <w:style w:type="character" w:styleId="ListLabel55">
    <w:name w:val="ListLabel 55"/>
    <w:qFormat/>
    <w:rPr>
      <w:rFonts w:ascii="Times New Roman" w:hAnsi="Times New Roman" w:cs="Calibri"/>
      <w:b/>
      <w:sz w:val="23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paragraph" w:styleId="Heading" w:customStyle="1">
    <w:name w:val="Heading"/>
    <w:basedOn w:val="Normal"/>
    <w:next w:val="TextBody"/>
    <w:qFormat/>
    <w:pPr>
      <w:keepNext/>
      <w:spacing w:lineRule="auto" w:line="259" w:before="240" w:after="120"/>
    </w:pPr>
    <w:rPr>
      <w:rFonts w:ascii="Liberation Sans" w:hAnsi="Liberation Sans" w:eastAsia="Droid Sans Fallback" w:cs="FreeSans"/>
      <w:sz w:val="28"/>
      <w:szCs w:val="28"/>
      <w:lang w:val="bg-BG" w:eastAsia="en-US"/>
    </w:rPr>
  </w:style>
  <w:style w:type="paragraph" w:styleId="TextBody" w:customStyle="1">
    <w:name w:val="Text Body"/>
    <w:basedOn w:val="Normal"/>
    <w:pPr>
      <w:spacing w:lineRule="auto" w:line="288" w:before="0" w:after="140"/>
    </w:pPr>
    <w:rPr>
      <w:rFonts w:ascii="Calibri" w:hAnsi="Calibri" w:asciiTheme="minorHAnsi" w:hAnsiTheme="minorHAnsi"/>
      <w:sz w:val="22"/>
      <w:szCs w:val="22"/>
      <w:lang w:val="bg-BG" w:eastAsia="en-US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  <w:spacing w:lineRule="auto" w:line="259" w:before="0" w:after="160"/>
    </w:pPr>
    <w:rPr>
      <w:rFonts w:ascii="Calibri" w:hAnsi="Calibri" w:cs="FreeSans" w:asciiTheme="minorHAnsi" w:hAnsiTheme="minorHAnsi"/>
      <w:sz w:val="22"/>
      <w:szCs w:val="22"/>
      <w:lang w:val="bg-BG" w:eastAsia="en-US"/>
    </w:rPr>
  </w:style>
  <w:style w:type="paragraph" w:styleId="Caption1">
    <w:name w:val="caption"/>
    <w:basedOn w:val="Normal"/>
    <w:qFormat/>
    <w:pPr>
      <w:suppressLineNumbers/>
      <w:spacing w:lineRule="auto" w:line="259" w:before="120" w:after="120"/>
    </w:pPr>
    <w:rPr>
      <w:rFonts w:ascii="Calibri" w:hAnsi="Calibri" w:cs="FreeSans" w:asciiTheme="minorHAnsi" w:hAnsiTheme="minorHAnsi"/>
      <w:i/>
      <w:iCs/>
      <w:lang w:val="bg-BG" w:eastAsia="en-US"/>
    </w:rPr>
  </w:style>
  <w:style w:type="paragraph" w:styleId="ListParagraph">
    <w:name w:val="List Paragraph"/>
    <w:basedOn w:val="Normal"/>
    <w:uiPriority w:val="34"/>
    <w:qFormat/>
    <w:rsid w:val="000348f3"/>
    <w:pPr>
      <w:spacing w:lineRule="auto" w:line="259" w:before="0" w:after="160"/>
      <w:ind w:left="720" w:hanging="0"/>
      <w:contextualSpacing/>
    </w:pPr>
    <w:rPr>
      <w:rFonts w:ascii="Calibri" w:hAnsi="Calibri" w:asciiTheme="minorHAnsi" w:hAnsiTheme="minorHAnsi"/>
      <w:sz w:val="22"/>
      <w:szCs w:val="22"/>
      <w:lang w:val="bg-BG" w:eastAsia="en-US"/>
    </w:rPr>
  </w:style>
  <w:style w:type="paragraph" w:styleId="Default" w:customStyle="1">
    <w:name w:val="Default"/>
    <w:qFormat/>
    <w:rsid w:val="00744129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Calibri"/>
      <w:color w:val="000000"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4129"/>
    <w:pPr/>
    <w:rPr>
      <w:rFonts w:ascii="Segoe UI" w:hAnsi="Segoe UI" w:cs="Segoe UI"/>
      <w:sz w:val="18"/>
      <w:szCs w:val="18"/>
      <w:lang w:val="bg-BG" w:eastAsia="en-US"/>
    </w:rPr>
  </w:style>
  <w:style w:type="paragraph" w:styleId="TableContents" w:customStyle="1">
    <w:name w:val="Table Contents"/>
    <w:basedOn w:val="Normal"/>
    <w:qFormat/>
    <w:rsid w:val="00746063"/>
    <w:pPr>
      <w:suppressLineNumbers/>
      <w:spacing w:lineRule="auto" w:line="276"/>
    </w:pPr>
    <w:rPr>
      <w:rFonts w:ascii="Calibri" w:hAnsi="Calibri" w:eastAsia="DejaVu Sans" w:cs="Calibri"/>
      <w:sz w:val="22"/>
      <w:szCs w:val="22"/>
      <w:lang w:val="en-US" w:eastAsia="en-US"/>
    </w:rPr>
  </w:style>
  <w:style w:type="paragraph" w:styleId="TableHeading" w:customStyle="1">
    <w:name w:val="Table Heading"/>
    <w:basedOn w:val="TableContents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c59a6"/>
    <w:pPr>
      <w:tabs>
        <w:tab w:val="center" w:pos="4536" w:leader="none"/>
        <w:tab w:val="right" w:pos="9072" w:leader="none"/>
      </w:tabs>
    </w:pPr>
    <w:rPr>
      <w:rFonts w:ascii="Calibri" w:hAnsi="Calibri" w:asciiTheme="minorHAnsi" w:hAnsiTheme="minorHAnsi"/>
      <w:sz w:val="22"/>
      <w:szCs w:val="22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rsid w:val="00fc59a6"/>
    <w:pPr>
      <w:tabs>
        <w:tab w:val="center" w:pos="4536" w:leader="none"/>
        <w:tab w:val="right" w:pos="9072" w:leader="none"/>
      </w:tabs>
    </w:pPr>
    <w:rPr>
      <w:rFonts w:ascii="Calibri" w:hAnsi="Calibri" w:asciiTheme="minorHAnsi" w:hAnsiTheme="minorHAnsi"/>
      <w:sz w:val="22"/>
      <w:szCs w:val="22"/>
      <w:lang w:val="bg-BG" w:eastAsia="en-US"/>
    </w:rPr>
  </w:style>
  <w:style w:type="paragraph" w:styleId="NormalWeb">
    <w:name w:val="Normal (Web)"/>
    <w:basedOn w:val="Normal"/>
    <w:uiPriority w:val="99"/>
    <w:unhideWhenUsed/>
    <w:qFormat/>
    <w:rsid w:val="001c2016"/>
    <w:pPr>
      <w:spacing w:beforeAutospacing="1" w:afterAutospacing="1"/>
    </w:pPr>
    <w:rPr>
      <w:rFonts w:cs="Times New Roman"/>
    </w:rPr>
  </w:style>
  <w:style w:type="paragraph" w:styleId="PreformattedText" w:customStyle="1">
    <w:name w:val="Preformatted Text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40" w:customStyle="1">
    <w:name w:val="WW8Num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348f3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LibreOffice/4.4.3.2$Linux_X86_64 LibreOffice_project/40m0$Build-2</Application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2019-10-03T12:51:03Z</dcterms:created>
  <dc:language>en-US</dc:language>
  <dcterms:modified xsi:type="dcterms:W3CDTF">2019-10-08T12:30:21Z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