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20" w:rsidRPr="00F13E6C" w:rsidRDefault="003F33B2" w:rsidP="00F13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INTERNATIONAL PROJECT</w:t>
      </w:r>
      <w:r w:rsidR="008C6227">
        <w:rPr>
          <w:b/>
          <w:sz w:val="28"/>
          <w:szCs w:val="28"/>
        </w:rPr>
        <w:t>S</w:t>
      </w:r>
      <w:r w:rsidR="00F13E6C" w:rsidRPr="00F13E6C">
        <w:rPr>
          <w:b/>
          <w:sz w:val="28"/>
          <w:szCs w:val="28"/>
        </w:rPr>
        <w:t xml:space="preserve"> FOR THE PERIOD 2013-2019</w:t>
      </w:r>
    </w:p>
    <w:p w:rsidR="00F13E6C" w:rsidRDefault="00F13E6C">
      <w:pPr>
        <w:rPr>
          <w:sz w:val="22"/>
          <w:szCs w:val="22"/>
        </w:rPr>
      </w:pPr>
    </w:p>
    <w:p w:rsidR="00F13E6C" w:rsidRDefault="00F13E6C">
      <w:pPr>
        <w:rPr>
          <w:sz w:val="22"/>
          <w:szCs w:val="22"/>
        </w:rPr>
      </w:pPr>
    </w:p>
    <w:p w:rsidR="00F13E6C" w:rsidRDefault="00F13E6C">
      <w:pPr>
        <w:rPr>
          <w:sz w:val="22"/>
          <w:szCs w:val="22"/>
        </w:rPr>
      </w:pPr>
    </w:p>
    <w:p w:rsidR="00F13E6C" w:rsidRPr="00F27444" w:rsidRDefault="00F13E6C">
      <w:pPr>
        <w:rPr>
          <w:sz w:val="22"/>
          <w:szCs w:val="22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693"/>
        <w:gridCol w:w="2410"/>
        <w:gridCol w:w="4536"/>
        <w:gridCol w:w="3544"/>
      </w:tblGrid>
      <w:tr w:rsidR="001E2520" w:rsidRPr="00F27444" w:rsidTr="001A551E">
        <w:trPr>
          <w:trHeight w:val="141"/>
        </w:trPr>
        <w:tc>
          <w:tcPr>
            <w:tcW w:w="1277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Start Year</w:t>
            </w:r>
          </w:p>
        </w:tc>
        <w:tc>
          <w:tcPr>
            <w:tcW w:w="2693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Type of Action</w:t>
            </w:r>
          </w:p>
        </w:tc>
        <w:tc>
          <w:tcPr>
            <w:tcW w:w="2410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Agreement Number</w:t>
            </w:r>
          </w:p>
        </w:tc>
        <w:tc>
          <w:tcPr>
            <w:tcW w:w="4536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Title of the Project</w:t>
            </w:r>
          </w:p>
        </w:tc>
        <w:tc>
          <w:tcPr>
            <w:tcW w:w="3544" w:type="dxa"/>
          </w:tcPr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  <w:r w:rsidRPr="00F27444">
              <w:rPr>
                <w:b/>
                <w:sz w:val="22"/>
                <w:szCs w:val="22"/>
              </w:rPr>
              <w:t>Coordinator</w:t>
            </w:r>
          </w:p>
          <w:p w:rsidR="001E2520" w:rsidRPr="00F27444" w:rsidRDefault="001E2520" w:rsidP="003C77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7</w:t>
            </w:r>
            <w:r w:rsidRPr="00077091">
              <w:rPr>
                <w:sz w:val="22"/>
                <w:szCs w:val="22"/>
                <w:vertAlign w:val="superscript"/>
              </w:rPr>
              <w:t>th</w:t>
            </w:r>
            <w:r w:rsidRPr="00077091">
              <w:rPr>
                <w:sz w:val="22"/>
                <w:szCs w:val="22"/>
              </w:rPr>
              <w:t xml:space="preserve"> Framework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 xml:space="preserve"> (FP7)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321278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Chain Reaction: A Sustainable to Inquiry Based Science Education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Sheffield Hallam University, Sheffield, United Kingdom;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7</w:t>
            </w:r>
            <w:r w:rsidRPr="00077091">
              <w:rPr>
                <w:sz w:val="22"/>
                <w:szCs w:val="22"/>
                <w:vertAlign w:val="superscript"/>
              </w:rPr>
              <w:t>th</w:t>
            </w:r>
            <w:r w:rsidRPr="00077091">
              <w:rPr>
                <w:sz w:val="22"/>
                <w:szCs w:val="22"/>
              </w:rPr>
              <w:t xml:space="preserve"> Framework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 xml:space="preserve"> (FP7)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609736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Researchers in Knowledge Triangle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New Bulgarian University, Sofia, Bulgaria;</w:t>
            </w: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Lifelong Learning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color w:val="FF0000"/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2013-ERA-MOB-33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Erasmus+ Mobility Grant</w:t>
            </w:r>
          </w:p>
          <w:p w:rsidR="006422DA" w:rsidRPr="00077091" w:rsidRDefault="006422DA" w:rsidP="006422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 xml:space="preserve">”, Bulgaria; </w:t>
            </w:r>
          </w:p>
          <w:p w:rsidR="006422DA" w:rsidRPr="00077091" w:rsidRDefault="006422DA" w:rsidP="006422DA">
            <w:pPr>
              <w:rPr>
                <w:color w:val="FF0000"/>
                <w:sz w:val="22"/>
                <w:szCs w:val="22"/>
              </w:rPr>
            </w:pP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7</w:t>
            </w:r>
            <w:r w:rsidRPr="00077091">
              <w:rPr>
                <w:sz w:val="22"/>
                <w:szCs w:val="22"/>
                <w:vertAlign w:val="superscript"/>
              </w:rPr>
              <w:t>th</w:t>
            </w:r>
            <w:r w:rsidRPr="00077091">
              <w:rPr>
                <w:sz w:val="22"/>
                <w:szCs w:val="22"/>
              </w:rPr>
              <w:t xml:space="preserve"> Framework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 xml:space="preserve"> (FP7)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613174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SAHWA Empowering the young generation: towards a new social contract in South and East Mediterranean countries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Centre for International Information and Documentation in Barcelona, Spain;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HORIZON 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SEP-210132800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Researchers in Knowledge Triangle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K-TRIO 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New Bulgarian University, Sofia, Bulgaria;</w:t>
            </w: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Lifelong Learning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>, ERASMUS+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539461-LLP-1-2013-1-BG-ERASMUS-ENW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Future education and training in computing: how to support learning at </w:t>
            </w:r>
            <w:proofErr w:type="spellStart"/>
            <w:r w:rsidRPr="00077091">
              <w:rPr>
                <w:sz w:val="22"/>
                <w:szCs w:val="22"/>
              </w:rPr>
              <w:t>anytime</w:t>
            </w:r>
            <w:proofErr w:type="spellEnd"/>
            <w:r w:rsidRPr="00077091">
              <w:rPr>
                <w:sz w:val="22"/>
                <w:szCs w:val="22"/>
              </w:rPr>
              <w:t xml:space="preserve"> anywhere (FETCH)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“Angel </w:t>
            </w:r>
            <w:proofErr w:type="spellStart"/>
            <w:r w:rsidRPr="00077091">
              <w:rPr>
                <w:sz w:val="22"/>
                <w:szCs w:val="22"/>
              </w:rPr>
              <w:t>Kanchev</w:t>
            </w:r>
            <w:proofErr w:type="spellEnd"/>
            <w:r w:rsidRPr="00077091">
              <w:rPr>
                <w:sz w:val="22"/>
                <w:szCs w:val="22"/>
              </w:rPr>
              <w:t>” University of Ruse, Bulgaria;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</w:p>
        </w:tc>
      </w:tr>
      <w:tr w:rsidR="006422DA" w:rsidRPr="00077091" w:rsidTr="001A551E">
        <w:trPr>
          <w:trHeight w:val="90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Lifelong Learning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>, ERASMUS+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2013-LLP/</w:t>
            </w:r>
            <w:proofErr w:type="spellStart"/>
            <w:r w:rsidRPr="00077091">
              <w:rPr>
                <w:sz w:val="22"/>
                <w:szCs w:val="22"/>
              </w:rPr>
              <w:t>LdV</w:t>
            </w:r>
            <w:proofErr w:type="spellEnd"/>
            <w:r w:rsidRPr="00077091">
              <w:rPr>
                <w:sz w:val="22"/>
                <w:szCs w:val="22"/>
              </w:rPr>
              <w:t>/TOI/2-13/IRL-506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Vocationally Oriented culture and Language in the Medical Emergency Sector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rFonts w:eastAsia="Calibri"/>
                <w:color w:val="000000"/>
                <w:sz w:val="22"/>
                <w:szCs w:val="22"/>
              </w:rPr>
              <w:t>Institute of Technology, Tralee, Ireland;</w:t>
            </w: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ERASMUS+</w:t>
            </w:r>
            <w:r w:rsidR="00E45A16" w:rsidRPr="00077091">
              <w:rPr>
                <w:sz w:val="22"/>
                <w:szCs w:val="22"/>
              </w:rPr>
              <w:t xml:space="preserve"> </w:t>
            </w:r>
            <w:proofErr w:type="spellStart"/>
            <w:r w:rsidR="00E45A16" w:rsidRPr="00077091">
              <w:rPr>
                <w:sz w:val="22"/>
                <w:szCs w:val="22"/>
              </w:rPr>
              <w:t>Programme</w:t>
            </w:r>
            <w:proofErr w:type="spellEnd"/>
            <w:r w:rsidR="00E45A16" w:rsidRPr="00077091">
              <w:rPr>
                <w:sz w:val="22"/>
                <w:szCs w:val="22"/>
              </w:rPr>
              <w:t>,</w:t>
            </w:r>
          </w:p>
          <w:p w:rsidR="00E45A16" w:rsidRPr="00077091" w:rsidRDefault="00E45A16" w:rsidP="00E45A16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Key Action</w:t>
            </w:r>
            <w:r w:rsidRPr="00077091">
              <w:rPr>
                <w:sz w:val="22"/>
                <w:szCs w:val="22"/>
              </w:rPr>
              <w:t xml:space="preserve"> </w:t>
            </w:r>
            <w:r w:rsidRPr="00077091">
              <w:rPr>
                <w:sz w:val="22"/>
                <w:szCs w:val="22"/>
              </w:rPr>
              <w:t>103</w:t>
            </w:r>
            <w:r w:rsidRPr="00077091">
              <w:rPr>
                <w:sz w:val="22"/>
                <w:szCs w:val="22"/>
              </w:rPr>
              <w:t xml:space="preserve"> - </w:t>
            </w:r>
            <w:r w:rsidRPr="00077091">
              <w:rPr>
                <w:sz w:val="22"/>
                <w:szCs w:val="22"/>
              </w:rPr>
              <w:t>Higher education student and staff mobil</w:t>
            </w:r>
            <w:r w:rsidRPr="00077091">
              <w:rPr>
                <w:sz w:val="22"/>
                <w:szCs w:val="22"/>
              </w:rPr>
              <w:t xml:space="preserve">ity within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 xml:space="preserve"> countries</w:t>
            </w:r>
            <w:r w:rsidR="00DB7679" w:rsidRPr="00077091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2015-1-BG01-KA103-013729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76752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ERASMUS+</w:t>
            </w:r>
            <w:r w:rsidR="00176752" w:rsidRPr="00077091">
              <w:rPr>
                <w:sz w:val="22"/>
                <w:szCs w:val="22"/>
              </w:rPr>
              <w:t xml:space="preserve"> </w:t>
            </w:r>
            <w:proofErr w:type="spellStart"/>
            <w:r w:rsidR="00176752" w:rsidRPr="00077091">
              <w:rPr>
                <w:sz w:val="22"/>
                <w:szCs w:val="22"/>
              </w:rPr>
              <w:t>Programme</w:t>
            </w:r>
            <w:proofErr w:type="spellEnd"/>
            <w:r w:rsidR="00176752" w:rsidRPr="00077091">
              <w:rPr>
                <w:sz w:val="22"/>
                <w:szCs w:val="22"/>
              </w:rPr>
              <w:t>,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Key action 2 –</w:t>
            </w:r>
            <w:r w:rsidR="00DB7679" w:rsidRPr="00077091">
              <w:rPr>
                <w:sz w:val="22"/>
                <w:szCs w:val="22"/>
              </w:rPr>
              <w:t xml:space="preserve"> </w:t>
            </w:r>
            <w:r w:rsidRPr="00077091">
              <w:rPr>
                <w:sz w:val="22"/>
                <w:szCs w:val="22"/>
              </w:rPr>
              <w:t>Cooperation for innovation and exchange of good practices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2014-1-RO01-KA201-002957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Gifted for You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“St. Mary” Special Middle School for The Hearing-Impaired, Romania;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1B27" w:rsidRPr="00077091" w:rsidRDefault="00E51B27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EE</w:t>
            </w:r>
            <w:r w:rsidR="00D421AE" w:rsidRPr="00077091">
              <w:rPr>
                <w:sz w:val="22"/>
                <w:szCs w:val="22"/>
              </w:rPr>
              <w:t>A</w:t>
            </w:r>
            <w:r w:rsidRPr="00077091">
              <w:rPr>
                <w:sz w:val="22"/>
                <w:szCs w:val="22"/>
              </w:rPr>
              <w:t xml:space="preserve"> GRANTS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BG02 </w:t>
            </w:r>
            <w:r w:rsidR="00E51B27" w:rsidRPr="00077091">
              <w:rPr>
                <w:sz w:val="22"/>
                <w:szCs w:val="22"/>
              </w:rPr>
              <w:t>Integrated Marine And Inland Water Management</w:t>
            </w:r>
            <w:r w:rsidR="00DB7679" w:rsidRPr="00077091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</w:rPr>
              <w:t>D</w:t>
            </w:r>
            <w:r w:rsidRPr="00077091">
              <w:rPr>
                <w:sz w:val="22"/>
                <w:szCs w:val="22"/>
                <w:lang w:val="bg-BG"/>
              </w:rPr>
              <w:t>-34-18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Performance of investigative monitoring program for assessment of pressure and impact of fish farming activities on surface water bodies and </w:t>
            </w:r>
            <w:proofErr w:type="spellStart"/>
            <w:r w:rsidRPr="00077091">
              <w:rPr>
                <w:sz w:val="22"/>
                <w:szCs w:val="22"/>
              </w:rPr>
              <w:t>actualiziation</w:t>
            </w:r>
            <w:proofErr w:type="spellEnd"/>
            <w:r w:rsidRPr="00077091">
              <w:rPr>
                <w:sz w:val="22"/>
                <w:szCs w:val="22"/>
              </w:rPr>
              <w:t xml:space="preserve"> of program of measures in the RMBP of East Aegean River Basin District (FISHFARMING)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The Ministry of Environment and Water 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East Aegean River Basin Directorate</w:t>
            </w: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hAnsi="Times New Roman"/>
              </w:rPr>
              <w:t>HORIZON 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662268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History of Nuclear Energy and Society (</w:t>
            </w:r>
            <w:proofErr w:type="spellStart"/>
            <w:r w:rsidRPr="00077091">
              <w:rPr>
                <w:sz w:val="22"/>
                <w:szCs w:val="22"/>
              </w:rPr>
              <w:t>HoNEST</w:t>
            </w:r>
            <w:proofErr w:type="spellEnd"/>
            <w:r w:rsidRPr="00077091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proofErr w:type="spellStart"/>
            <w:r w:rsidRPr="00077091">
              <w:rPr>
                <w:sz w:val="22"/>
                <w:szCs w:val="22"/>
              </w:rPr>
              <w:t>Pompeu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Fabra</w:t>
            </w:r>
            <w:proofErr w:type="spellEnd"/>
            <w:r w:rsidRPr="00077091">
              <w:rPr>
                <w:sz w:val="22"/>
                <w:szCs w:val="22"/>
              </w:rPr>
              <w:t xml:space="preserve"> University, Barcelona, Spain;</w:t>
            </w: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Creative Europe (CREA)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559393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„CU TENDA” – STORIES, IMAGES AND SOUNDS</w:t>
            </w:r>
            <w:r w:rsidR="00176752" w:rsidRPr="00077091">
              <w:rPr>
                <w:sz w:val="22"/>
                <w:szCs w:val="22"/>
              </w:rPr>
              <w:t xml:space="preserve"> ON THE MOVE (</w:t>
            </w:r>
            <w:r w:rsidRPr="00077091">
              <w:rPr>
                <w:sz w:val="22"/>
                <w:szCs w:val="22"/>
              </w:rPr>
              <w:t>Living memory of Southeastern Europe</w:t>
            </w:r>
            <w:r w:rsidR="00176752" w:rsidRPr="00077091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Museum of The Romanian Peasant, </w:t>
            </w:r>
            <w:proofErr w:type="spellStart"/>
            <w:r w:rsidRPr="00077091">
              <w:rPr>
                <w:sz w:val="22"/>
                <w:szCs w:val="22"/>
              </w:rPr>
              <w:t>Romenia</w:t>
            </w:r>
            <w:proofErr w:type="spellEnd"/>
            <w:r w:rsidRPr="00077091">
              <w:rPr>
                <w:sz w:val="22"/>
                <w:szCs w:val="22"/>
              </w:rPr>
              <w:t>;</w:t>
            </w:r>
          </w:p>
        </w:tc>
      </w:tr>
      <w:tr w:rsidR="006422DA" w:rsidRPr="00077091" w:rsidTr="001A551E">
        <w:trPr>
          <w:trHeight w:val="129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>, Key Action 2: Strategic Partnerships</w:t>
            </w:r>
            <w:r w:rsidR="00DB7679" w:rsidRPr="00077091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2015-1-LV01-KA203-013439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Implementation of Software Engineering Competence Remote Evaluation for Master Program Graduates (ISECRET)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Transport and Telecommunication Institute, Riga, Latvia;</w:t>
            </w: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>, Key Action 3 - Support for policy reform</w:t>
            </w:r>
          </w:p>
          <w:p w:rsidR="006422DA" w:rsidRPr="00077091" w:rsidRDefault="006422DA" w:rsidP="006422DA">
            <w:pPr>
              <w:spacing w:after="200" w:line="276" w:lineRule="auto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Forward-Looking Cooperation Projects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spacing w:after="200" w:line="276" w:lineRule="auto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562113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spacing w:after="200" w:line="276" w:lineRule="auto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Using mobile technology to improve policy Reform for Inclusion of Disadvantaged Groups in Education – </w:t>
            </w:r>
            <w:proofErr w:type="spellStart"/>
            <w:r w:rsidRPr="00077091">
              <w:rPr>
                <w:sz w:val="22"/>
                <w:szCs w:val="22"/>
              </w:rPr>
              <w:t>mRIDGE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6422DA" w:rsidRPr="00077091" w:rsidTr="001A551E">
        <w:trPr>
          <w:trHeight w:val="194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>, Key Action 2 - Cooperation for innovation and the exchange of good practices</w:t>
            </w:r>
          </w:p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Capacity Building in Higher Education</w:t>
            </w:r>
            <w:r w:rsidR="00DB7679" w:rsidRPr="00077091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spacing w:after="200" w:line="276" w:lineRule="auto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2015-2852/001-001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 Improving Higher Education Quality in Jordan using Mobile Technologies for Better Integration of Disadvantaged Groups to Socio-economic Diversity (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mEQUITY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>)</w:t>
            </w:r>
          </w:p>
          <w:p w:rsidR="006422DA" w:rsidRPr="00077091" w:rsidRDefault="006422DA" w:rsidP="006422D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University of </w:t>
            </w:r>
            <w:proofErr w:type="spellStart"/>
            <w:r w:rsidRPr="00077091">
              <w:rPr>
                <w:sz w:val="22"/>
                <w:szCs w:val="22"/>
              </w:rPr>
              <w:t>Plovdiv“Paisii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>, Key Action 2 – Strategic Partnerships for Higher Education,  Cooperation for innovation and the exchange of good practices</w:t>
            </w:r>
            <w:r w:rsidR="00DB7679" w:rsidRPr="00077091">
              <w:rPr>
                <w:rFonts w:ascii="Times New Roman" w:eastAsia="Times New Roman" w:hAnsi="Times New Roman"/>
              </w:rPr>
              <w:t>;</w:t>
            </w:r>
          </w:p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2015-1-IE02-KA203-000420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Crafting Employability Strategies for HE Students of Languages in Europe – Career Services, (CES&amp;L)</w:t>
            </w:r>
          </w:p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rFonts w:eastAsia="Calibri"/>
                <w:color w:val="000000"/>
                <w:sz w:val="22"/>
                <w:szCs w:val="22"/>
              </w:rPr>
              <w:t>Institute of Technology, Tralee, Ireland;</w:t>
            </w: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>, Key Action 2 - Cooperation for innovation and the exchange of good practices</w:t>
            </w:r>
          </w:p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spacing w:after="0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561940-EPP-1-2015-1-JO-EPPKA2-CBHE-JP</w:t>
            </w:r>
          </w:p>
          <w:p w:rsidR="006422DA" w:rsidRPr="00077091" w:rsidRDefault="006422DA" w:rsidP="006422D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Modernization of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TEaching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MeThodologies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 xml:space="preserve"> in Higher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educatiOn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 xml:space="preserve">: EU experience for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JorDan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 xml:space="preserve"> and 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PaleStinian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 xml:space="preserve"> Territory, (METHODS)</w:t>
            </w:r>
          </w:p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noProof/>
                <w:sz w:val="22"/>
                <w:szCs w:val="22"/>
              </w:rPr>
              <w:t>The University of Jordan, Aman, Jordan;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Joint Institute for Nuclear Research, </w:t>
            </w:r>
            <w:proofErr w:type="spellStart"/>
            <w:r w:rsidRPr="00077091">
              <w:rPr>
                <w:sz w:val="22"/>
                <w:szCs w:val="22"/>
              </w:rPr>
              <w:t>Dubna</w:t>
            </w:r>
            <w:proofErr w:type="spellEnd"/>
            <w:r w:rsidRPr="00077091">
              <w:rPr>
                <w:sz w:val="22"/>
                <w:szCs w:val="22"/>
              </w:rPr>
              <w:t>, Russia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Point</w:t>
            </w:r>
            <w:r w:rsidRPr="00077091">
              <w:rPr>
                <w:sz w:val="22"/>
                <w:szCs w:val="22"/>
                <w:lang w:val="bg-BG"/>
              </w:rPr>
              <w:t>№16/</w:t>
            </w:r>
            <w:r w:rsidRPr="00077091">
              <w:rPr>
                <w:sz w:val="22"/>
                <w:szCs w:val="22"/>
              </w:rPr>
              <w:t xml:space="preserve">theme </w:t>
            </w:r>
            <w:r w:rsidRPr="00077091">
              <w:rPr>
                <w:sz w:val="22"/>
                <w:szCs w:val="22"/>
                <w:lang w:val="bg-BG"/>
              </w:rPr>
              <w:t>04-5-1076-2009/2016</w:t>
            </w:r>
          </w:p>
          <w:p w:rsidR="006422DA" w:rsidRPr="00077091" w:rsidRDefault="006422DA" w:rsidP="006422DA">
            <w:pPr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</w:rPr>
              <w:t>point</w:t>
            </w:r>
            <w:r w:rsidRPr="00077091">
              <w:rPr>
                <w:sz w:val="22"/>
                <w:szCs w:val="22"/>
                <w:lang w:val="bg-BG"/>
              </w:rPr>
              <w:t xml:space="preserve"> №17/</w:t>
            </w:r>
            <w:r w:rsidRPr="00077091">
              <w:rPr>
                <w:sz w:val="22"/>
                <w:szCs w:val="22"/>
              </w:rPr>
              <w:t xml:space="preserve">theme </w:t>
            </w:r>
            <w:r w:rsidRPr="00077091">
              <w:rPr>
                <w:sz w:val="22"/>
                <w:szCs w:val="22"/>
                <w:lang w:val="bg-BG"/>
              </w:rPr>
              <w:t>04-5-1076-2009/2016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The study of the trace elements distribution in Bulgarian tobacco plants by X-ray and </w:t>
            </w:r>
            <w:r w:rsidR="00B020B6" w:rsidRPr="00077091">
              <w:rPr>
                <w:sz w:val="22"/>
                <w:szCs w:val="22"/>
              </w:rPr>
              <w:t>nuclear analytical methods</w:t>
            </w:r>
            <w:r w:rsidRPr="0007709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color w:val="FF0000"/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 Bulgaria;</w:t>
            </w:r>
          </w:p>
          <w:p w:rsidR="006422DA" w:rsidRPr="00077091" w:rsidRDefault="006422DA" w:rsidP="006422DA">
            <w:pPr>
              <w:rPr>
                <w:color w:val="FF0000"/>
                <w:sz w:val="22"/>
                <w:szCs w:val="22"/>
              </w:rPr>
            </w:pP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Joint Institute for Nuclear Research, </w:t>
            </w:r>
            <w:proofErr w:type="spellStart"/>
            <w:r w:rsidRPr="00077091">
              <w:rPr>
                <w:sz w:val="22"/>
                <w:szCs w:val="22"/>
              </w:rPr>
              <w:t>Dubna</w:t>
            </w:r>
            <w:proofErr w:type="spellEnd"/>
            <w:r w:rsidRPr="00077091">
              <w:rPr>
                <w:sz w:val="22"/>
                <w:szCs w:val="22"/>
              </w:rPr>
              <w:t>, Russia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</w:rPr>
              <w:t>Point</w:t>
            </w:r>
            <w:r w:rsidRPr="00077091">
              <w:rPr>
                <w:sz w:val="22"/>
                <w:szCs w:val="22"/>
                <w:lang w:val="bg-BG"/>
              </w:rPr>
              <w:t xml:space="preserve"> №15/</w:t>
            </w:r>
            <w:r w:rsidRPr="00077091">
              <w:rPr>
                <w:sz w:val="22"/>
                <w:szCs w:val="22"/>
              </w:rPr>
              <w:t>theme</w:t>
            </w:r>
            <w:r w:rsidRPr="00077091">
              <w:rPr>
                <w:sz w:val="22"/>
                <w:szCs w:val="22"/>
                <w:lang w:val="bg-BG"/>
              </w:rPr>
              <w:t xml:space="preserve"> 03-04-1104-2011-2016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Assessment of atmosphere deposition of pollutants in Bulgaria based on neutron activation analysis of moss </w:t>
            </w:r>
            <w:proofErr w:type="spellStart"/>
            <w:r w:rsidRPr="00077091">
              <w:rPr>
                <w:sz w:val="22"/>
                <w:szCs w:val="22"/>
              </w:rPr>
              <w:t>biomonitors</w:t>
            </w:r>
            <w:proofErr w:type="spellEnd"/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color w:val="FF0000"/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 Bulgaria;</w:t>
            </w:r>
          </w:p>
          <w:p w:rsidR="006422DA" w:rsidRPr="00077091" w:rsidRDefault="006422DA" w:rsidP="006422DA">
            <w:pPr>
              <w:rPr>
                <w:color w:val="FF0000"/>
                <w:sz w:val="22"/>
                <w:szCs w:val="22"/>
              </w:rPr>
            </w:pP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AC0C47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ERASMUS+</w:t>
            </w:r>
            <w:r w:rsidR="00176752" w:rsidRPr="00077091">
              <w:rPr>
                <w:sz w:val="22"/>
                <w:szCs w:val="22"/>
              </w:rPr>
              <w:t xml:space="preserve"> </w:t>
            </w:r>
            <w:proofErr w:type="spellStart"/>
            <w:r w:rsidR="00176752"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>, Initiatives for Policy Innovations, Policy Innovation in School Education Sector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77091">
              <w:rPr>
                <w:rFonts w:ascii="Times New Roman" w:hAnsi="Times New Roman"/>
                <w:lang w:val="it-IT"/>
              </w:rPr>
              <w:t>2015-3741/001-001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A New Way for New Talents in Teaching (NEWTT)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noProof/>
                <w:sz w:val="22"/>
                <w:szCs w:val="22"/>
              </w:rPr>
            </w:pPr>
            <w:r w:rsidRPr="00077091">
              <w:rPr>
                <w:sz w:val="22"/>
                <w:szCs w:val="22"/>
                <w:lang w:val="it-IT"/>
              </w:rPr>
              <w:t>Teach for Bulgaria (Zaedno v Chas), Sofia, Bulgaria</w:t>
            </w: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HORIZON 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77091">
              <w:rPr>
                <w:rFonts w:ascii="Times New Roman" w:hAnsi="Times New Roman"/>
              </w:rPr>
              <w:t>693167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Policies Supporting Young People in their Life Course. A Comparative Perspective of Lifelong Learning and Inclusion in Education and Work in Europe (YOUNG_ADULLLT)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noProof/>
                <w:sz w:val="22"/>
                <w:szCs w:val="22"/>
              </w:rPr>
            </w:pPr>
            <w:r w:rsidRPr="00077091">
              <w:rPr>
                <w:noProof/>
                <w:sz w:val="22"/>
                <w:szCs w:val="22"/>
              </w:rPr>
              <w:t>The University of Münster, Münster, Germany;</w:t>
            </w:r>
          </w:p>
        </w:tc>
      </w:tr>
      <w:tr w:rsidR="006422DA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>, Key Action 2 - Cooperation for innovation and the exchange of good practices</w:t>
            </w:r>
          </w:p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lastRenderedPageBreak/>
              <w:t>Capacity Building in Higher Education</w:t>
            </w:r>
            <w:r w:rsidR="00AC0C47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077091">
              <w:rPr>
                <w:rFonts w:ascii="Times New Roman" w:hAnsi="Times New Roman"/>
              </w:rPr>
              <w:lastRenderedPageBreak/>
              <w:t>2015-3005/001-001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Bridging Innovations, Health and Societies: Educational capacity building in the Eastern European </w:t>
            </w:r>
            <w:proofErr w:type="spellStart"/>
            <w:r w:rsidRPr="00077091">
              <w:rPr>
                <w:sz w:val="22"/>
                <w:szCs w:val="22"/>
              </w:rPr>
              <w:t>Neighbouring</w:t>
            </w:r>
            <w:proofErr w:type="spellEnd"/>
            <w:r w:rsidRPr="00077091">
              <w:rPr>
                <w:sz w:val="22"/>
                <w:szCs w:val="22"/>
              </w:rPr>
              <w:t xml:space="preserve"> Areas (BIHSENA)</w:t>
            </w:r>
          </w:p>
          <w:p w:rsidR="006422DA" w:rsidRPr="00077091" w:rsidRDefault="006422DA" w:rsidP="006422DA">
            <w:pPr>
              <w:pStyle w:val="ListParagraph"/>
              <w:ind w:left="0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422DA" w:rsidRPr="00077091" w:rsidRDefault="006422DA" w:rsidP="006422DA">
            <w:pPr>
              <w:rPr>
                <w:noProof/>
                <w:sz w:val="22"/>
                <w:szCs w:val="22"/>
              </w:rPr>
            </w:pPr>
            <w:r w:rsidRPr="00077091">
              <w:rPr>
                <w:noProof/>
                <w:sz w:val="22"/>
                <w:szCs w:val="22"/>
              </w:rPr>
              <w:t>Maastricht University, Maastricht, Netherlands;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The </w:t>
            </w:r>
            <w:proofErr w:type="spellStart"/>
            <w:r w:rsidRPr="00077091">
              <w:rPr>
                <w:sz w:val="22"/>
                <w:szCs w:val="22"/>
              </w:rPr>
              <w:t>Leverhulme</w:t>
            </w:r>
            <w:proofErr w:type="spellEnd"/>
            <w:r w:rsidRPr="00077091">
              <w:rPr>
                <w:sz w:val="22"/>
                <w:szCs w:val="22"/>
              </w:rPr>
              <w:t xml:space="preserve"> Trust, London, United Kingdom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CLS-2519-01/27.04.2014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</w:rPr>
              <w:t xml:space="preserve">Framing financial crisis and protest: North-West and East Europe 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</w:rPr>
              <w:t xml:space="preserve">The Open University, United Kingdom 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ERASMUS+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>;</w:t>
            </w:r>
          </w:p>
          <w:p w:rsidR="00EA2B9B" w:rsidRPr="00077091" w:rsidRDefault="00EA2B9B" w:rsidP="006422DA">
            <w:pPr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</w:rPr>
              <w:t xml:space="preserve">Key Action 103 - Higher education student and staff mobility within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 xml:space="preserve"> countries</w:t>
            </w:r>
            <w:r w:rsidRPr="00077091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2016-1-BG01-KA103-022921/04.08.2016г.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 Bulgaria;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</w:rPr>
              <w:t>201</w:t>
            </w:r>
            <w:r w:rsidRPr="00077091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2693" w:type="dxa"/>
          </w:tcPr>
          <w:p w:rsidR="006422DA" w:rsidRDefault="006422DA" w:rsidP="006422DA">
            <w:pPr>
              <w:rPr>
                <w:sz w:val="22"/>
                <w:szCs w:val="22"/>
              </w:rPr>
            </w:pPr>
            <w:r w:rsidRPr="00801941">
              <w:rPr>
                <w:sz w:val="22"/>
                <w:szCs w:val="22"/>
              </w:rPr>
              <w:t>ERASMUS+</w:t>
            </w:r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>;</w:t>
            </w:r>
          </w:p>
          <w:p w:rsidR="00801941" w:rsidRPr="00801941" w:rsidRDefault="00801941" w:rsidP="00801941">
            <w:pPr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077091">
              <w:rPr>
                <w:sz w:val="22"/>
                <w:szCs w:val="22"/>
              </w:rPr>
              <w:t xml:space="preserve">Key Action </w:t>
            </w:r>
            <w:r>
              <w:rPr>
                <w:sz w:val="22"/>
                <w:szCs w:val="22"/>
              </w:rPr>
              <w:t xml:space="preserve">107 - </w:t>
            </w:r>
            <w:r w:rsidRPr="00801941">
              <w:rPr>
                <w:sz w:val="22"/>
                <w:szCs w:val="22"/>
              </w:rPr>
              <w:t>Higher education student and staff mobility</w:t>
            </w:r>
            <w:r w:rsidR="00AC0C47">
              <w:rPr>
                <w:sz w:val="22"/>
                <w:szCs w:val="22"/>
              </w:rPr>
              <w:t xml:space="preserve"> between </w:t>
            </w:r>
            <w:proofErr w:type="spellStart"/>
            <w:r w:rsidR="00AC0C47">
              <w:rPr>
                <w:sz w:val="22"/>
                <w:szCs w:val="22"/>
              </w:rPr>
              <w:t>programme</w:t>
            </w:r>
            <w:proofErr w:type="spellEnd"/>
            <w:r w:rsidR="00AC0C47">
              <w:rPr>
                <w:sz w:val="22"/>
                <w:szCs w:val="22"/>
              </w:rPr>
              <w:t xml:space="preserve"> and partner c</w:t>
            </w:r>
            <w:r w:rsidRPr="00801941">
              <w:rPr>
                <w:sz w:val="22"/>
                <w:szCs w:val="22"/>
              </w:rPr>
              <w:t>ountries;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2016-1-BG-01-КА107-023255/НЕ-47/31.08.2016г.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Horizon 2020</w:t>
            </w:r>
          </w:p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Research Executive Agency</w:t>
            </w:r>
          </w:p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Excellent Science;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Marie </w:t>
            </w:r>
            <w:proofErr w:type="spellStart"/>
            <w:r w:rsidRPr="00077091">
              <w:rPr>
                <w:sz w:val="22"/>
                <w:szCs w:val="22"/>
              </w:rPr>
              <w:t>Sklodowska</w:t>
            </w:r>
            <w:proofErr w:type="spellEnd"/>
            <w:r w:rsidRPr="00077091">
              <w:rPr>
                <w:sz w:val="22"/>
                <w:szCs w:val="22"/>
              </w:rPr>
              <w:t>-Curie;</w:t>
            </w:r>
            <w:r w:rsidR="00521654">
              <w:rPr>
                <w:sz w:val="22"/>
                <w:szCs w:val="22"/>
              </w:rPr>
              <w:t xml:space="preserve"> </w:t>
            </w:r>
            <w:r w:rsidRPr="00077091">
              <w:rPr>
                <w:sz w:val="22"/>
                <w:szCs w:val="22"/>
              </w:rPr>
              <w:t>Innovative Training Networks;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NUMBER- 765492 – ELBA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(H2020-MSCA-ITN-2017/H2020-MSCA-ITN-2017)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European Liquid Biopsies Academy - Towards</w:t>
            </w:r>
          </w:p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widespread clinical application of blood- based diagnostic tools - ELBA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STICHTING VUMC, 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Amsterdam, Netherlands;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ERASMUS+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>,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Key Action 2 – Strategic Partnerships</w:t>
            </w:r>
            <w:r w:rsidR="00F01752" w:rsidRPr="00077091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2017-2-BG01-KA205-036419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Leisure time as a positivist youth</w:t>
            </w:r>
          </w:p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peer pedagogy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>;</w:t>
            </w:r>
          </w:p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Key Action 3 - Support for Policy Reform;</w:t>
            </w:r>
          </w:p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Action - Social inclusion through education, training and youth</w:t>
            </w:r>
            <w:r w:rsidR="00F01752" w:rsidRPr="00077091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  <w:lang w:val="bg-BG"/>
              </w:rPr>
              <w:t>№5921177-ЕРР-</w:t>
            </w:r>
            <w:r w:rsidRPr="00077091">
              <w:rPr>
                <w:sz w:val="22"/>
                <w:szCs w:val="22"/>
              </w:rPr>
              <w:t>1-2017-1-BGEPPKA</w:t>
            </w:r>
            <w:r w:rsidRPr="00077091">
              <w:rPr>
                <w:sz w:val="22"/>
                <w:szCs w:val="22"/>
                <w:lang w:val="bg-BG"/>
              </w:rPr>
              <w:t>З-</w:t>
            </w:r>
            <w:r w:rsidRPr="00077091">
              <w:rPr>
                <w:sz w:val="22"/>
                <w:szCs w:val="22"/>
              </w:rPr>
              <w:t>IPI-SOC-IN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Adaptive Personalized System for Creating Expression Tools in Social Inclusion of Learners with Verbal Communication Disabilities - TESI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>;</w:t>
            </w:r>
          </w:p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KA2 - Cooperation for Innovation and the Exchange of Good Practices, Collaborative Partnership in Sport 2017</w:t>
            </w:r>
            <w:r w:rsidR="00F01752" w:rsidRPr="00077091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  <w:lang w:val="bg-BG"/>
              </w:rPr>
              <w:t>№590416-ЕРР-1-2017-1-</w:t>
            </w:r>
            <w:r w:rsidRPr="00077091">
              <w:rPr>
                <w:sz w:val="22"/>
                <w:szCs w:val="22"/>
              </w:rPr>
              <w:t>BG-S-PO-SCP2017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Sports Training for All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ERASMUS+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>;</w:t>
            </w:r>
          </w:p>
          <w:p w:rsidR="007E3E37" w:rsidRPr="00077091" w:rsidRDefault="007E3E37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Key Action 103 - Higher education student and staff mobility within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 xml:space="preserve"> countries</w:t>
            </w:r>
            <w:r w:rsidRPr="00077091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2017-1-BG01-KA103-035479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="00F01752" w:rsidRPr="00077091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586109-EPP-1-2017-1-RO-EPPKA2-CBHESP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Implementation of Education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Qaulity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 xml:space="preserve"> Assurance System via Cooperation of University-Business-Government in HEI - EDUQAS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University of Craiova, </w:t>
            </w:r>
          </w:p>
          <w:p w:rsidR="006422DA" w:rsidRPr="00077091" w:rsidRDefault="006422DA" w:rsidP="006422D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Craiova, Romania;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  <w:lang w:val="bg-BG"/>
              </w:rPr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 xml:space="preserve"> to Slovak Academic Association for International Cooperation (SAAIC)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  <w:lang w:val="bg-BG"/>
              </w:rPr>
              <w:t>2017-1-</w:t>
            </w:r>
            <w:r w:rsidRPr="00077091">
              <w:rPr>
                <w:sz w:val="22"/>
                <w:szCs w:val="22"/>
              </w:rPr>
              <w:t>SK01-KA203-035402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Focusing Education on Composability, Comprehensibility and Correctness of Working Software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077091">
              <w:rPr>
                <w:rFonts w:eastAsia="Calibri"/>
                <w:color w:val="000000"/>
                <w:sz w:val="22"/>
                <w:szCs w:val="22"/>
              </w:rPr>
              <w:t xml:space="preserve">Technical University of </w:t>
            </w:r>
            <w:proofErr w:type="spellStart"/>
            <w:r w:rsidRPr="00077091">
              <w:rPr>
                <w:rFonts w:eastAsia="Calibri"/>
                <w:color w:val="000000"/>
                <w:sz w:val="22"/>
                <w:szCs w:val="22"/>
              </w:rPr>
              <w:t>Košice</w:t>
            </w:r>
            <w:proofErr w:type="spellEnd"/>
            <w:r w:rsidRPr="00077091">
              <w:rPr>
                <w:rFonts w:eastAsia="Calibri"/>
                <w:color w:val="000000"/>
                <w:sz w:val="22"/>
                <w:szCs w:val="22"/>
              </w:rPr>
              <w:t>,</w:t>
            </w:r>
          </w:p>
          <w:p w:rsidR="006422DA" w:rsidRPr="00077091" w:rsidRDefault="006422DA" w:rsidP="006422DA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077091">
              <w:rPr>
                <w:rFonts w:eastAsia="Calibri"/>
                <w:color w:val="000000"/>
                <w:sz w:val="22"/>
                <w:szCs w:val="22"/>
              </w:rPr>
              <w:t>Košice</w:t>
            </w:r>
            <w:proofErr w:type="spellEnd"/>
            <w:r w:rsidRPr="00077091">
              <w:rPr>
                <w:rFonts w:eastAsia="Calibri"/>
                <w:color w:val="000000"/>
                <w:sz w:val="22"/>
                <w:szCs w:val="22"/>
              </w:rPr>
              <w:t>, Slovakia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>, Key Action 2 – Strategic Partnerships for vocational education and training</w:t>
            </w:r>
            <w:r w:rsidR="00F01752" w:rsidRPr="00077091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2017-1-IE01‐KA202‐025710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VOCAL in NEED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rFonts w:eastAsia="Calibri"/>
                <w:color w:val="000000"/>
                <w:sz w:val="22"/>
                <w:szCs w:val="22"/>
              </w:rPr>
              <w:t>Institute of Technology, Tralee, Ireland;</w:t>
            </w:r>
          </w:p>
        </w:tc>
      </w:tr>
      <w:tr w:rsidR="006422DA" w:rsidRPr="00077091" w:rsidTr="003C0B3E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2017-1ES01-KA203-038491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RULES_MATH: New Rules for assessing Mathematical Competencies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pStyle w:val="Default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Salamanca, Spain;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The Artistic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 xml:space="preserve"> of  Municipal Foundation Plovdiv 2019</w:t>
            </w:r>
            <w:r w:rsidR="00F01752" w:rsidRPr="00077091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OP-040/14.11.2017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>The Neighborhoods of Plovdiv TOGETHER - a Virtual Portfolio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pStyle w:val="Default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Cooperation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 xml:space="preserve"> INTERREG V-A Greece-Bulgaria 2014-2020</w:t>
            </w:r>
            <w:r w:rsidR="00F01752" w:rsidRPr="00077091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B2.9c04/18.10.2017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jc w:val="both"/>
              <w:rPr>
                <w:sz w:val="22"/>
                <w:szCs w:val="22"/>
              </w:rPr>
            </w:pPr>
            <w:proofErr w:type="spellStart"/>
            <w:r w:rsidRPr="00077091">
              <w:rPr>
                <w:sz w:val="22"/>
                <w:szCs w:val="22"/>
              </w:rPr>
              <w:t>ReinFORCE</w:t>
            </w:r>
            <w:proofErr w:type="spellEnd"/>
            <w:r w:rsidRPr="00077091">
              <w:rPr>
                <w:sz w:val="22"/>
                <w:szCs w:val="22"/>
              </w:rPr>
              <w:t xml:space="preserve"> SOCIAL Entrepreneurial Spirit through Setting up Innovative Support Structures in the cross-border Territory -  SOCIAL FORCES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077091">
              <w:rPr>
                <w:color w:val="000000"/>
                <w:sz w:val="22"/>
                <w:szCs w:val="22"/>
              </w:rPr>
              <w:t xml:space="preserve">Regional Development Agency of </w:t>
            </w:r>
            <w:proofErr w:type="spellStart"/>
            <w:r w:rsidRPr="00077091">
              <w:rPr>
                <w:color w:val="000000"/>
                <w:sz w:val="22"/>
                <w:szCs w:val="22"/>
              </w:rPr>
              <w:t>Rodopi</w:t>
            </w:r>
            <w:proofErr w:type="spellEnd"/>
            <w:r w:rsidRPr="00077091">
              <w:rPr>
                <w:color w:val="000000"/>
                <w:sz w:val="22"/>
                <w:szCs w:val="22"/>
              </w:rPr>
              <w:t xml:space="preserve"> S.A.;</w:t>
            </w:r>
          </w:p>
          <w:p w:rsidR="006422DA" w:rsidRPr="00077091" w:rsidRDefault="006422DA" w:rsidP="006422DA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77091">
              <w:rPr>
                <w:color w:val="000000"/>
                <w:sz w:val="22"/>
                <w:szCs w:val="22"/>
              </w:rPr>
              <w:t>Komotini</w:t>
            </w:r>
            <w:proofErr w:type="spellEnd"/>
            <w:r w:rsidRPr="00077091">
              <w:rPr>
                <w:color w:val="000000"/>
                <w:sz w:val="22"/>
                <w:szCs w:val="22"/>
              </w:rPr>
              <w:t>, Greece;</w:t>
            </w:r>
          </w:p>
          <w:p w:rsidR="006422DA" w:rsidRPr="00077091" w:rsidRDefault="006422DA" w:rsidP="006422DA">
            <w:pPr>
              <w:pStyle w:val="Default"/>
              <w:rPr>
                <w:sz w:val="22"/>
                <w:szCs w:val="22"/>
              </w:rPr>
            </w:pP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Cooperation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 xml:space="preserve"> INTERREG V-A Greece-Bulgaria 2014-2020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B2.6c04/01.11.2017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Developing Identity ON </w:t>
            </w:r>
            <w:bookmarkStart w:id="0" w:name="_GoBack"/>
            <w:r w:rsidR="00AC0C47" w:rsidRPr="00077091">
              <w:rPr>
                <w:rFonts w:ascii="Times New Roman" w:eastAsia="Times New Roman" w:hAnsi="Times New Roman"/>
              </w:rPr>
              <w:t>Yield</w:t>
            </w:r>
            <w:bookmarkEnd w:id="0"/>
            <w:r w:rsidRPr="00077091">
              <w:rPr>
                <w:rFonts w:ascii="Times New Roman" w:eastAsia="Times New Roman" w:hAnsi="Times New Roman"/>
              </w:rPr>
              <w:t>, Soil and Site - DIONYSOS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jc w:val="both"/>
              <w:rPr>
                <w:color w:val="000000"/>
                <w:sz w:val="22"/>
                <w:szCs w:val="22"/>
              </w:rPr>
            </w:pPr>
            <w:r w:rsidRPr="00077091">
              <w:rPr>
                <w:color w:val="000000"/>
                <w:sz w:val="22"/>
                <w:szCs w:val="22"/>
              </w:rPr>
              <w:t>Agricultural University of Athens</w:t>
            </w:r>
          </w:p>
          <w:p w:rsidR="006422DA" w:rsidRPr="00077091" w:rsidRDefault="006422DA" w:rsidP="006422DA">
            <w:pPr>
              <w:pStyle w:val="Default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Athens, Greece;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eastAsia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eastAsia="Times New Roman" w:hAnsi="Times New Roman"/>
              </w:rPr>
              <w:t xml:space="preserve"> Jean Monnet action - Jean Monnet Chair</w:t>
            </w:r>
            <w:r w:rsidR="00F01752" w:rsidRPr="00077091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587704-EPP-1-2017-1-DE-EPPJMO-NETWORK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 xml:space="preserve">Enhancing </w:t>
            </w:r>
            <w:proofErr w:type="spellStart"/>
            <w:r w:rsidRPr="00077091">
              <w:rPr>
                <w:sz w:val="22"/>
                <w:szCs w:val="22"/>
              </w:rPr>
              <w:t>VIsibility</w:t>
            </w:r>
            <w:proofErr w:type="spellEnd"/>
            <w:r w:rsidRPr="00077091">
              <w:rPr>
                <w:sz w:val="22"/>
                <w:szCs w:val="22"/>
              </w:rPr>
              <w:t xml:space="preserve"> of the Academic </w:t>
            </w:r>
            <w:proofErr w:type="spellStart"/>
            <w:r w:rsidRPr="00077091">
              <w:rPr>
                <w:sz w:val="22"/>
                <w:szCs w:val="22"/>
              </w:rPr>
              <w:t>DialogUe</w:t>
            </w:r>
            <w:proofErr w:type="spellEnd"/>
            <w:r w:rsidRPr="00077091">
              <w:rPr>
                <w:sz w:val="22"/>
                <w:szCs w:val="22"/>
              </w:rPr>
              <w:t xml:space="preserve"> on EU-Turkey </w:t>
            </w:r>
            <w:proofErr w:type="spellStart"/>
            <w:r w:rsidRPr="00077091">
              <w:rPr>
                <w:sz w:val="22"/>
                <w:szCs w:val="22"/>
              </w:rPr>
              <w:t>CooperaTion</w:t>
            </w:r>
            <w:proofErr w:type="spellEnd"/>
            <w:r w:rsidRPr="00077091">
              <w:rPr>
                <w:sz w:val="22"/>
                <w:szCs w:val="22"/>
              </w:rPr>
              <w:t>-VIADUCT</w:t>
            </w:r>
          </w:p>
          <w:p w:rsidR="006422DA" w:rsidRPr="00077091" w:rsidRDefault="006422DA" w:rsidP="006422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lang w:val="bg-BG"/>
              </w:rPr>
            </w:pPr>
          </w:p>
        </w:tc>
        <w:tc>
          <w:tcPr>
            <w:tcW w:w="3544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Cologne;</w:t>
            </w:r>
          </w:p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Cologne, Germany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hAnsi="Times New Roman"/>
              </w:rPr>
              <w:t>ERASMUS+</w:t>
            </w:r>
            <w:r w:rsidR="00E943C4" w:rsidRPr="00077091">
              <w:rPr>
                <w:rFonts w:ascii="Times New Roman" w:hAnsi="Times New Roman"/>
              </w:rPr>
              <w:t xml:space="preserve"> </w:t>
            </w:r>
            <w:proofErr w:type="spellStart"/>
            <w:r w:rsidR="00E943C4"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="00E943C4" w:rsidRPr="00077091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2018-1-BG01-KA201-047854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Training of teachers as inclusive education ambassadors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77091">
              <w:rPr>
                <w:rFonts w:ascii="Times New Roman" w:hAnsi="Times New Roman"/>
              </w:rPr>
              <w:t>ERASMUS+</w:t>
            </w:r>
            <w:r w:rsidR="00E943C4" w:rsidRPr="00077091">
              <w:rPr>
                <w:rFonts w:ascii="Times New Roman" w:hAnsi="Times New Roman"/>
              </w:rPr>
              <w:t xml:space="preserve"> </w:t>
            </w:r>
            <w:proofErr w:type="spellStart"/>
            <w:r w:rsidR="00E943C4" w:rsidRPr="00077091">
              <w:rPr>
                <w:rFonts w:ascii="Times New Roman" w:hAnsi="Times New Roman"/>
              </w:rPr>
              <w:t>Programme</w:t>
            </w:r>
            <w:proofErr w:type="spellEnd"/>
            <w:r w:rsidR="00E943C4" w:rsidRPr="00077091">
              <w:rPr>
                <w:rFonts w:ascii="Times New Roman" w:hAnsi="Times New Roman"/>
              </w:rPr>
              <w:t>;</w:t>
            </w:r>
          </w:p>
          <w:p w:rsidR="00476D9F" w:rsidRPr="00077091" w:rsidRDefault="00476D9F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hAnsi="Times New Roman"/>
              </w:rPr>
              <w:t xml:space="preserve">Key Action 103 - Higher education student and staff mobility within </w:t>
            </w:r>
            <w:proofErr w:type="spellStart"/>
            <w:r w:rsidRPr="00077091">
              <w:rPr>
                <w:rFonts w:ascii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hAnsi="Times New Roman"/>
              </w:rPr>
              <w:t xml:space="preserve"> countries</w:t>
            </w:r>
            <w:r w:rsidRPr="00077091">
              <w:rPr>
                <w:rFonts w:ascii="Times New Roman" w:hAnsi="Times New Roman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</w:t>
            </w:r>
            <w:r w:rsidRPr="00077091">
              <w:rPr>
                <w:sz w:val="22"/>
                <w:szCs w:val="22"/>
                <w:lang w:val="bg-BG"/>
              </w:rPr>
              <w:t>8</w:t>
            </w:r>
            <w:r w:rsidRPr="00077091">
              <w:rPr>
                <w:sz w:val="22"/>
                <w:szCs w:val="22"/>
              </w:rPr>
              <w:t>-1-BG01-КА103-</w:t>
            </w:r>
            <w:r w:rsidRPr="00077091">
              <w:rPr>
                <w:sz w:val="22"/>
                <w:szCs w:val="22"/>
                <w:lang w:val="bg-BG"/>
              </w:rPr>
              <w:t>047096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77091">
              <w:rPr>
                <w:rFonts w:ascii="Times New Roman" w:hAnsi="Times New Roman"/>
              </w:rPr>
              <w:t>ERASMUS+</w:t>
            </w:r>
            <w:r w:rsidR="00E943C4" w:rsidRPr="00077091">
              <w:rPr>
                <w:rFonts w:ascii="Times New Roman" w:hAnsi="Times New Roman"/>
              </w:rPr>
              <w:t xml:space="preserve"> </w:t>
            </w:r>
            <w:proofErr w:type="spellStart"/>
            <w:r w:rsidR="00E943C4" w:rsidRPr="00077091">
              <w:rPr>
                <w:rFonts w:ascii="Times New Roman" w:eastAsia="Times New Roman" w:hAnsi="Times New Roman"/>
              </w:rPr>
              <w:t>Programme</w:t>
            </w:r>
            <w:proofErr w:type="spellEnd"/>
            <w:r w:rsidR="00E943C4" w:rsidRPr="00077091">
              <w:rPr>
                <w:rFonts w:ascii="Times New Roman" w:eastAsia="Times New Roman" w:hAnsi="Times New Roman"/>
              </w:rPr>
              <w:t>;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2018-1-IE01-KA201-038799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Developing an open source Interactive Tourism Portal (ITR)  to promote careers and educations in Hospitality and Tourism sector - C&amp;E in HT</w:t>
            </w:r>
          </w:p>
        </w:tc>
        <w:tc>
          <w:tcPr>
            <w:tcW w:w="3544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rFonts w:eastAsia="Calibri"/>
                <w:color w:val="000000"/>
                <w:sz w:val="22"/>
                <w:szCs w:val="22"/>
              </w:rPr>
              <w:t>Institute of Technology, Tralee, Ireland;</w:t>
            </w:r>
          </w:p>
        </w:tc>
      </w:tr>
      <w:tr w:rsidR="006422DA" w:rsidRPr="00077091" w:rsidTr="001A551E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277" w:type="dxa"/>
          </w:tcPr>
          <w:p w:rsidR="006422DA" w:rsidRPr="00077091" w:rsidRDefault="006422DA" w:rsidP="006422DA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6422DA" w:rsidRPr="00077091" w:rsidRDefault="006422DA" w:rsidP="006422D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77091">
              <w:rPr>
                <w:rFonts w:ascii="Times New Roman" w:hAnsi="Times New Roman"/>
              </w:rPr>
              <w:t>Horizon 2020</w:t>
            </w:r>
          </w:p>
        </w:tc>
        <w:tc>
          <w:tcPr>
            <w:tcW w:w="2410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  <w:lang w:val="bg-BG"/>
              </w:rPr>
            </w:pPr>
            <w:r w:rsidRPr="00077091">
              <w:rPr>
                <w:sz w:val="22"/>
                <w:szCs w:val="22"/>
              </w:rPr>
              <w:t>824544</w:t>
            </w:r>
          </w:p>
        </w:tc>
        <w:tc>
          <w:tcPr>
            <w:tcW w:w="4536" w:type="dxa"/>
          </w:tcPr>
          <w:p w:rsidR="006422DA" w:rsidRPr="00077091" w:rsidRDefault="006422DA" w:rsidP="006422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Supporting and Implementing Plans for Gender Equality in Academia and Research</w:t>
            </w:r>
          </w:p>
        </w:tc>
        <w:tc>
          <w:tcPr>
            <w:tcW w:w="3544" w:type="dxa"/>
          </w:tcPr>
          <w:p w:rsidR="001A551E" w:rsidRPr="00077091" w:rsidRDefault="006422DA" w:rsidP="006422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77091">
              <w:rPr>
                <w:rFonts w:eastAsia="Calibri"/>
                <w:color w:val="000000"/>
                <w:sz w:val="22"/>
                <w:szCs w:val="22"/>
              </w:rPr>
              <w:t>University of Southern Denmark</w:t>
            </w:r>
          </w:p>
        </w:tc>
      </w:tr>
      <w:tr w:rsidR="001A551E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E" w:rsidRPr="00077091" w:rsidRDefault="001A551E" w:rsidP="001A551E">
            <w:pPr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  <w:lang w:val="be-BY"/>
              </w:rPr>
              <w:t>2019</w:t>
            </w:r>
          </w:p>
        </w:tc>
        <w:tc>
          <w:tcPr>
            <w:tcW w:w="2693" w:type="dxa"/>
          </w:tcPr>
          <w:p w:rsidR="001A551E" w:rsidRPr="00077091" w:rsidRDefault="001A551E" w:rsidP="003C0B3E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  <w:lang w:val="be-BY"/>
              </w:rPr>
              <w:t>ERASMUS +</w:t>
            </w:r>
            <w:r w:rsidR="00E864EF" w:rsidRPr="00077091">
              <w:rPr>
                <w:sz w:val="22"/>
                <w:szCs w:val="22"/>
              </w:rPr>
              <w:t xml:space="preserve"> </w:t>
            </w:r>
            <w:proofErr w:type="spellStart"/>
            <w:r w:rsidR="00E864EF" w:rsidRPr="00077091">
              <w:rPr>
                <w:sz w:val="22"/>
                <w:szCs w:val="22"/>
              </w:rPr>
              <w:t>Programme</w:t>
            </w:r>
            <w:proofErr w:type="spellEnd"/>
            <w:r w:rsidR="00F01752" w:rsidRPr="00077091">
              <w:rPr>
                <w:sz w:val="22"/>
                <w:szCs w:val="22"/>
              </w:rPr>
              <w:t>,</w:t>
            </w:r>
          </w:p>
          <w:p w:rsidR="00F01752" w:rsidRPr="00077091" w:rsidRDefault="00F01752" w:rsidP="00F017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77091">
              <w:rPr>
                <w:rFonts w:ascii="Times New Roman" w:hAnsi="Times New Roman"/>
              </w:rPr>
              <w:t xml:space="preserve">ERASMUS+ </w:t>
            </w:r>
            <w:proofErr w:type="spellStart"/>
            <w:r w:rsidRPr="00077091">
              <w:rPr>
                <w:rFonts w:ascii="Times New Roman" w:hAnsi="Times New Roman"/>
              </w:rPr>
              <w:t>Programme</w:t>
            </w:r>
            <w:proofErr w:type="spellEnd"/>
            <w:r w:rsidRPr="00077091">
              <w:rPr>
                <w:rFonts w:ascii="Times New Roman" w:hAnsi="Times New Roman"/>
              </w:rPr>
              <w:t>;</w:t>
            </w:r>
          </w:p>
          <w:p w:rsidR="00F01752" w:rsidRPr="00077091" w:rsidRDefault="00F01752" w:rsidP="00F01752">
            <w:pPr>
              <w:rPr>
                <w:sz w:val="22"/>
                <w:szCs w:val="22"/>
              </w:rPr>
            </w:pPr>
            <w:r w:rsidRPr="00077091">
              <w:rPr>
                <w:rFonts w:eastAsia="Calibri"/>
                <w:sz w:val="22"/>
                <w:szCs w:val="22"/>
              </w:rPr>
              <w:t>Key Action</w:t>
            </w:r>
            <w:r w:rsidRPr="00077091">
              <w:rPr>
                <w:sz w:val="22"/>
                <w:szCs w:val="22"/>
              </w:rPr>
              <w:t xml:space="preserve"> 103 - Higher education student and staff mobility within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  <w:r w:rsidRPr="00077091">
              <w:rPr>
                <w:sz w:val="22"/>
                <w:szCs w:val="22"/>
              </w:rPr>
              <w:t xml:space="preserve"> countries;</w:t>
            </w:r>
          </w:p>
        </w:tc>
        <w:tc>
          <w:tcPr>
            <w:tcW w:w="2410" w:type="dxa"/>
          </w:tcPr>
          <w:p w:rsidR="001A551E" w:rsidRPr="00077091" w:rsidRDefault="001A551E" w:rsidP="00F12E6B">
            <w:pPr>
              <w:jc w:val="center"/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  <w:lang w:val="be-BY"/>
              </w:rPr>
              <w:t>2019-1-BG01-КА103-061231</w:t>
            </w:r>
          </w:p>
        </w:tc>
        <w:tc>
          <w:tcPr>
            <w:tcW w:w="4536" w:type="dxa"/>
          </w:tcPr>
          <w:p w:rsidR="001A551E" w:rsidRPr="00077091" w:rsidRDefault="001A551E" w:rsidP="003C0B3E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Erasmus+ Mobility Grant</w:t>
            </w:r>
          </w:p>
        </w:tc>
        <w:tc>
          <w:tcPr>
            <w:tcW w:w="3544" w:type="dxa"/>
          </w:tcPr>
          <w:p w:rsidR="001A551E" w:rsidRPr="00077091" w:rsidRDefault="001A551E" w:rsidP="00914EB5">
            <w:pPr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E864EF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F" w:rsidRPr="00077091" w:rsidRDefault="00E864EF" w:rsidP="00E864EF">
            <w:pPr>
              <w:jc w:val="center"/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  <w:lang w:val="be-BY"/>
              </w:rPr>
              <w:t>2019</w:t>
            </w:r>
          </w:p>
        </w:tc>
        <w:tc>
          <w:tcPr>
            <w:tcW w:w="2693" w:type="dxa"/>
          </w:tcPr>
          <w:p w:rsidR="00E864EF" w:rsidRPr="00077091" w:rsidRDefault="00E864EF" w:rsidP="00E864EF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  <w:lang w:val="be-BY"/>
              </w:rPr>
              <w:t>ERASMUS +</w:t>
            </w:r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2410" w:type="dxa"/>
          </w:tcPr>
          <w:p w:rsidR="00E864EF" w:rsidRPr="00077091" w:rsidRDefault="00E864EF" w:rsidP="00E864EF">
            <w:pPr>
              <w:jc w:val="center"/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  <w:lang w:val="be-BY"/>
              </w:rPr>
              <w:t>2019-1-BG01-KA201-062268</w:t>
            </w:r>
          </w:p>
        </w:tc>
        <w:tc>
          <w:tcPr>
            <w:tcW w:w="4536" w:type="dxa"/>
          </w:tcPr>
          <w:p w:rsidR="00E864EF" w:rsidRPr="00077091" w:rsidRDefault="00E864EF" w:rsidP="003C0B3E">
            <w:pPr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  <w:lang w:val="be-BY"/>
              </w:rPr>
              <w:t>Innovative English studying through EU legislation promotional talks dint by ICT tools</w:t>
            </w:r>
          </w:p>
        </w:tc>
        <w:tc>
          <w:tcPr>
            <w:tcW w:w="3544" w:type="dxa"/>
          </w:tcPr>
          <w:p w:rsidR="00E864EF" w:rsidRPr="00077091" w:rsidRDefault="00E864EF" w:rsidP="00914EB5">
            <w:pPr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</w:rPr>
              <w:t>University of Plovdiv “</w:t>
            </w:r>
            <w:proofErr w:type="spellStart"/>
            <w:r w:rsidRPr="00077091">
              <w:rPr>
                <w:sz w:val="22"/>
                <w:szCs w:val="22"/>
              </w:rPr>
              <w:t>Paisii</w:t>
            </w:r>
            <w:proofErr w:type="spellEnd"/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Hilendarski</w:t>
            </w:r>
            <w:proofErr w:type="spellEnd"/>
            <w:r w:rsidRPr="00077091">
              <w:rPr>
                <w:sz w:val="22"/>
                <w:szCs w:val="22"/>
              </w:rPr>
              <w:t>”, Bulgaria;</w:t>
            </w:r>
          </w:p>
        </w:tc>
      </w:tr>
      <w:tr w:rsidR="00E864EF" w:rsidRPr="00077091" w:rsidTr="001A551E">
        <w:trPr>
          <w:trHeight w:val="11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F" w:rsidRPr="00077091" w:rsidRDefault="00E864EF" w:rsidP="00E864EF">
            <w:pPr>
              <w:jc w:val="center"/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  <w:lang w:val="be-BY"/>
              </w:rPr>
              <w:t>2019</w:t>
            </w:r>
          </w:p>
        </w:tc>
        <w:tc>
          <w:tcPr>
            <w:tcW w:w="2693" w:type="dxa"/>
          </w:tcPr>
          <w:p w:rsidR="00E864EF" w:rsidRPr="00077091" w:rsidRDefault="00E864EF" w:rsidP="00E864EF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  <w:lang w:val="be-BY"/>
              </w:rPr>
              <w:t>ERASMUS +</w:t>
            </w:r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2410" w:type="dxa"/>
          </w:tcPr>
          <w:p w:rsidR="00E864EF" w:rsidRPr="00077091" w:rsidRDefault="00E864EF" w:rsidP="00E864EF">
            <w:pPr>
              <w:jc w:val="center"/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  <w:lang w:val="be-BY"/>
              </w:rPr>
              <w:t>2019-1-FR01-KA204-063140</w:t>
            </w:r>
          </w:p>
        </w:tc>
        <w:tc>
          <w:tcPr>
            <w:tcW w:w="4536" w:type="dxa"/>
          </w:tcPr>
          <w:p w:rsidR="00E864EF" w:rsidRPr="00077091" w:rsidRDefault="00E864EF" w:rsidP="003C0B3E">
            <w:pPr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  <w:lang w:val="be-BY"/>
              </w:rPr>
              <w:t>European stories</w:t>
            </w:r>
          </w:p>
        </w:tc>
        <w:tc>
          <w:tcPr>
            <w:tcW w:w="3544" w:type="dxa"/>
          </w:tcPr>
          <w:p w:rsidR="00E864EF" w:rsidRPr="00077091" w:rsidRDefault="00E864EF" w:rsidP="00E864EF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Le LABA Association, France;</w:t>
            </w:r>
          </w:p>
          <w:p w:rsidR="00E864EF" w:rsidRPr="00077091" w:rsidRDefault="00E864EF" w:rsidP="00E864EF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E864EF" w:rsidRPr="00077091" w:rsidTr="001A551E">
        <w:trPr>
          <w:trHeight w:val="8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EF" w:rsidRPr="00077091" w:rsidRDefault="00E864EF" w:rsidP="00E864EF">
            <w:pPr>
              <w:jc w:val="center"/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  <w:lang w:val="be-BY"/>
              </w:rPr>
              <w:t>2019</w:t>
            </w:r>
          </w:p>
        </w:tc>
        <w:tc>
          <w:tcPr>
            <w:tcW w:w="2693" w:type="dxa"/>
          </w:tcPr>
          <w:p w:rsidR="00E864EF" w:rsidRPr="00077091" w:rsidRDefault="00E864EF" w:rsidP="00E864EF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  <w:lang w:val="be-BY"/>
              </w:rPr>
              <w:t>ERASMUS +</w:t>
            </w:r>
            <w:r w:rsidRPr="00077091">
              <w:rPr>
                <w:sz w:val="22"/>
                <w:szCs w:val="22"/>
              </w:rPr>
              <w:t xml:space="preserve"> </w:t>
            </w:r>
            <w:proofErr w:type="spellStart"/>
            <w:r w:rsidRPr="00077091">
              <w:rPr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2410" w:type="dxa"/>
          </w:tcPr>
          <w:p w:rsidR="00E864EF" w:rsidRPr="00077091" w:rsidRDefault="00E864EF" w:rsidP="00E864EF">
            <w:pPr>
              <w:jc w:val="center"/>
              <w:rPr>
                <w:sz w:val="22"/>
                <w:szCs w:val="22"/>
                <w:lang w:val="be-BY"/>
              </w:rPr>
            </w:pPr>
            <w:r w:rsidRPr="00077091">
              <w:rPr>
                <w:sz w:val="22"/>
                <w:szCs w:val="22"/>
                <w:lang w:val="be-BY"/>
              </w:rPr>
              <w:t xml:space="preserve"> 2019-1-FR01-KA204-063142</w:t>
            </w:r>
          </w:p>
        </w:tc>
        <w:tc>
          <w:tcPr>
            <w:tcW w:w="4536" w:type="dxa"/>
          </w:tcPr>
          <w:p w:rsidR="00E864EF" w:rsidRPr="00077091" w:rsidRDefault="00E864EF" w:rsidP="003C0B3E">
            <w:pPr>
              <w:rPr>
                <w:sz w:val="22"/>
                <w:szCs w:val="22"/>
                <w:lang w:val="en-GB"/>
              </w:rPr>
            </w:pPr>
            <w:r w:rsidRPr="00077091">
              <w:rPr>
                <w:sz w:val="22"/>
                <w:szCs w:val="22"/>
                <w:lang w:val="en-GB"/>
              </w:rPr>
              <w:t>European Cooperation for Roma Inclusion (ECRI)</w:t>
            </w:r>
          </w:p>
        </w:tc>
        <w:tc>
          <w:tcPr>
            <w:tcW w:w="3544" w:type="dxa"/>
          </w:tcPr>
          <w:p w:rsidR="00E864EF" w:rsidRPr="00077091" w:rsidRDefault="00E864EF" w:rsidP="00E864EF">
            <w:pPr>
              <w:rPr>
                <w:sz w:val="22"/>
                <w:szCs w:val="22"/>
              </w:rPr>
            </w:pPr>
            <w:r w:rsidRPr="00077091">
              <w:rPr>
                <w:sz w:val="22"/>
                <w:szCs w:val="22"/>
              </w:rPr>
              <w:t>Le LABA Association, France;</w:t>
            </w:r>
          </w:p>
          <w:p w:rsidR="00E864EF" w:rsidRPr="00077091" w:rsidRDefault="00E864EF" w:rsidP="00E864EF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AA0257" w:rsidRPr="00077091" w:rsidRDefault="00AA0257" w:rsidP="00D02974">
      <w:pPr>
        <w:rPr>
          <w:sz w:val="22"/>
          <w:szCs w:val="22"/>
        </w:rPr>
      </w:pPr>
    </w:p>
    <w:sectPr w:rsidR="00AA0257" w:rsidRPr="00077091" w:rsidSect="00384409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E73"/>
    <w:multiLevelType w:val="hybridMultilevel"/>
    <w:tmpl w:val="43568E54"/>
    <w:lvl w:ilvl="0" w:tplc="BE3817E8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E24"/>
    <w:multiLevelType w:val="hybridMultilevel"/>
    <w:tmpl w:val="1A96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23CB"/>
    <w:multiLevelType w:val="hybridMultilevel"/>
    <w:tmpl w:val="4BC40F3A"/>
    <w:lvl w:ilvl="0" w:tplc="4192DAE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11829"/>
    <w:multiLevelType w:val="hybridMultilevel"/>
    <w:tmpl w:val="1A96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1AEF"/>
    <w:multiLevelType w:val="hybridMultilevel"/>
    <w:tmpl w:val="0F8A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27CEA"/>
    <w:multiLevelType w:val="hybridMultilevel"/>
    <w:tmpl w:val="E4CC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51"/>
    <w:rsid w:val="000038DB"/>
    <w:rsid w:val="00007D88"/>
    <w:rsid w:val="00012472"/>
    <w:rsid w:val="00014019"/>
    <w:rsid w:val="00014E5A"/>
    <w:rsid w:val="00023CAA"/>
    <w:rsid w:val="0003764A"/>
    <w:rsid w:val="00042046"/>
    <w:rsid w:val="000432AE"/>
    <w:rsid w:val="000439F3"/>
    <w:rsid w:val="00045994"/>
    <w:rsid w:val="00047092"/>
    <w:rsid w:val="00047E3D"/>
    <w:rsid w:val="000611C9"/>
    <w:rsid w:val="000646B1"/>
    <w:rsid w:val="0007537F"/>
    <w:rsid w:val="00077091"/>
    <w:rsid w:val="000920BD"/>
    <w:rsid w:val="00097E8C"/>
    <w:rsid w:val="000B096D"/>
    <w:rsid w:val="000B318B"/>
    <w:rsid w:val="000B4B1D"/>
    <w:rsid w:val="000C0C8C"/>
    <w:rsid w:val="000D1E2C"/>
    <w:rsid w:val="000D7683"/>
    <w:rsid w:val="000E2F98"/>
    <w:rsid w:val="00101F82"/>
    <w:rsid w:val="00103022"/>
    <w:rsid w:val="00113471"/>
    <w:rsid w:val="00114D7A"/>
    <w:rsid w:val="001158FE"/>
    <w:rsid w:val="00124BC7"/>
    <w:rsid w:val="00130BC1"/>
    <w:rsid w:val="00130FA1"/>
    <w:rsid w:val="001345B5"/>
    <w:rsid w:val="00143CEF"/>
    <w:rsid w:val="00145B76"/>
    <w:rsid w:val="00145F79"/>
    <w:rsid w:val="0015396B"/>
    <w:rsid w:val="00155F5E"/>
    <w:rsid w:val="00156DC4"/>
    <w:rsid w:val="0016026D"/>
    <w:rsid w:val="001671BE"/>
    <w:rsid w:val="00172075"/>
    <w:rsid w:val="00176752"/>
    <w:rsid w:val="00176F20"/>
    <w:rsid w:val="00182E52"/>
    <w:rsid w:val="001A0EB2"/>
    <w:rsid w:val="001A2541"/>
    <w:rsid w:val="001A551E"/>
    <w:rsid w:val="001A5B99"/>
    <w:rsid w:val="001B250B"/>
    <w:rsid w:val="001B7F9B"/>
    <w:rsid w:val="001C41EE"/>
    <w:rsid w:val="001D3818"/>
    <w:rsid w:val="001D7065"/>
    <w:rsid w:val="001E2520"/>
    <w:rsid w:val="001F449B"/>
    <w:rsid w:val="00201E9A"/>
    <w:rsid w:val="00206EA6"/>
    <w:rsid w:val="0020759A"/>
    <w:rsid w:val="0021230C"/>
    <w:rsid w:val="00213CEB"/>
    <w:rsid w:val="00220123"/>
    <w:rsid w:val="00231008"/>
    <w:rsid w:val="00231E16"/>
    <w:rsid w:val="00235237"/>
    <w:rsid w:val="002420D2"/>
    <w:rsid w:val="0024316A"/>
    <w:rsid w:val="00246C87"/>
    <w:rsid w:val="00246D23"/>
    <w:rsid w:val="00247F34"/>
    <w:rsid w:val="00267F0C"/>
    <w:rsid w:val="002729A3"/>
    <w:rsid w:val="00272A0B"/>
    <w:rsid w:val="00273025"/>
    <w:rsid w:val="00275451"/>
    <w:rsid w:val="002936FE"/>
    <w:rsid w:val="00297E00"/>
    <w:rsid w:val="002A12AB"/>
    <w:rsid w:val="002A3A3C"/>
    <w:rsid w:val="002A5FD3"/>
    <w:rsid w:val="002B17A9"/>
    <w:rsid w:val="002B28D5"/>
    <w:rsid w:val="002C6213"/>
    <w:rsid w:val="002C6503"/>
    <w:rsid w:val="002D7D11"/>
    <w:rsid w:val="002E103E"/>
    <w:rsid w:val="002E63CF"/>
    <w:rsid w:val="002F026D"/>
    <w:rsid w:val="002F2E2D"/>
    <w:rsid w:val="002F3A42"/>
    <w:rsid w:val="003005B5"/>
    <w:rsid w:val="00301F49"/>
    <w:rsid w:val="003024D6"/>
    <w:rsid w:val="003045BC"/>
    <w:rsid w:val="00306E5F"/>
    <w:rsid w:val="003131A2"/>
    <w:rsid w:val="00322B7E"/>
    <w:rsid w:val="00325875"/>
    <w:rsid w:val="00326B7E"/>
    <w:rsid w:val="0032730D"/>
    <w:rsid w:val="00330590"/>
    <w:rsid w:val="003447D1"/>
    <w:rsid w:val="00345238"/>
    <w:rsid w:val="00350498"/>
    <w:rsid w:val="00351225"/>
    <w:rsid w:val="0035212D"/>
    <w:rsid w:val="00352788"/>
    <w:rsid w:val="00355CDE"/>
    <w:rsid w:val="00361E90"/>
    <w:rsid w:val="003637A1"/>
    <w:rsid w:val="0036507F"/>
    <w:rsid w:val="00365917"/>
    <w:rsid w:val="00366CE7"/>
    <w:rsid w:val="00370C3F"/>
    <w:rsid w:val="00373E26"/>
    <w:rsid w:val="00373E52"/>
    <w:rsid w:val="0037738D"/>
    <w:rsid w:val="00384409"/>
    <w:rsid w:val="00387C95"/>
    <w:rsid w:val="0039300A"/>
    <w:rsid w:val="003A2BB1"/>
    <w:rsid w:val="003A361A"/>
    <w:rsid w:val="003A5A5B"/>
    <w:rsid w:val="003B629F"/>
    <w:rsid w:val="003C0B3E"/>
    <w:rsid w:val="003C777F"/>
    <w:rsid w:val="003D1120"/>
    <w:rsid w:val="003D1591"/>
    <w:rsid w:val="003F33B2"/>
    <w:rsid w:val="003F64A7"/>
    <w:rsid w:val="003F7332"/>
    <w:rsid w:val="00402C93"/>
    <w:rsid w:val="004124A0"/>
    <w:rsid w:val="004149CB"/>
    <w:rsid w:val="00414ECD"/>
    <w:rsid w:val="00417CBE"/>
    <w:rsid w:val="004208A1"/>
    <w:rsid w:val="004227B3"/>
    <w:rsid w:val="00424B35"/>
    <w:rsid w:val="004250CB"/>
    <w:rsid w:val="00427166"/>
    <w:rsid w:val="00430317"/>
    <w:rsid w:val="00430E56"/>
    <w:rsid w:val="004327B5"/>
    <w:rsid w:val="00436D28"/>
    <w:rsid w:val="0044288D"/>
    <w:rsid w:val="00450806"/>
    <w:rsid w:val="00457FC8"/>
    <w:rsid w:val="00467353"/>
    <w:rsid w:val="00472A7D"/>
    <w:rsid w:val="00474076"/>
    <w:rsid w:val="00476D9F"/>
    <w:rsid w:val="0048048A"/>
    <w:rsid w:val="00482A4C"/>
    <w:rsid w:val="00485637"/>
    <w:rsid w:val="00491C8E"/>
    <w:rsid w:val="00495054"/>
    <w:rsid w:val="004A6365"/>
    <w:rsid w:val="004B4685"/>
    <w:rsid w:val="004B4D8C"/>
    <w:rsid w:val="004B73A1"/>
    <w:rsid w:val="004C5A7B"/>
    <w:rsid w:val="004D533A"/>
    <w:rsid w:val="004E517C"/>
    <w:rsid w:val="004E565E"/>
    <w:rsid w:val="004E6283"/>
    <w:rsid w:val="004F102C"/>
    <w:rsid w:val="004F3E2C"/>
    <w:rsid w:val="004F7969"/>
    <w:rsid w:val="0050149B"/>
    <w:rsid w:val="00504F8C"/>
    <w:rsid w:val="00521654"/>
    <w:rsid w:val="0052395D"/>
    <w:rsid w:val="00532C36"/>
    <w:rsid w:val="005330C4"/>
    <w:rsid w:val="005621BD"/>
    <w:rsid w:val="00567695"/>
    <w:rsid w:val="00567B00"/>
    <w:rsid w:val="00567B92"/>
    <w:rsid w:val="0057035F"/>
    <w:rsid w:val="00575FEB"/>
    <w:rsid w:val="00583A6F"/>
    <w:rsid w:val="0058553E"/>
    <w:rsid w:val="00590ADF"/>
    <w:rsid w:val="005954C7"/>
    <w:rsid w:val="00597145"/>
    <w:rsid w:val="005A2B06"/>
    <w:rsid w:val="005A4096"/>
    <w:rsid w:val="005B12DC"/>
    <w:rsid w:val="005B6B0F"/>
    <w:rsid w:val="005C0F84"/>
    <w:rsid w:val="005C7656"/>
    <w:rsid w:val="005D665C"/>
    <w:rsid w:val="005E7FF0"/>
    <w:rsid w:val="005F1110"/>
    <w:rsid w:val="005F4542"/>
    <w:rsid w:val="00604942"/>
    <w:rsid w:val="0061221B"/>
    <w:rsid w:val="0061663D"/>
    <w:rsid w:val="00620259"/>
    <w:rsid w:val="00624589"/>
    <w:rsid w:val="00631826"/>
    <w:rsid w:val="006345F4"/>
    <w:rsid w:val="00636C39"/>
    <w:rsid w:val="006422DA"/>
    <w:rsid w:val="00642958"/>
    <w:rsid w:val="00642A6F"/>
    <w:rsid w:val="006472A7"/>
    <w:rsid w:val="00647BD7"/>
    <w:rsid w:val="00661E96"/>
    <w:rsid w:val="00665372"/>
    <w:rsid w:val="0067195B"/>
    <w:rsid w:val="00674781"/>
    <w:rsid w:val="00676D43"/>
    <w:rsid w:val="00681DEA"/>
    <w:rsid w:val="00685A00"/>
    <w:rsid w:val="00687E0C"/>
    <w:rsid w:val="006A3387"/>
    <w:rsid w:val="006A4756"/>
    <w:rsid w:val="006A592D"/>
    <w:rsid w:val="006B3E73"/>
    <w:rsid w:val="006B3EF6"/>
    <w:rsid w:val="006B4F44"/>
    <w:rsid w:val="006B7967"/>
    <w:rsid w:val="006D5917"/>
    <w:rsid w:val="006D7664"/>
    <w:rsid w:val="006E2A00"/>
    <w:rsid w:val="006E3D60"/>
    <w:rsid w:val="006F2B50"/>
    <w:rsid w:val="006F744F"/>
    <w:rsid w:val="006F74FA"/>
    <w:rsid w:val="00700BD5"/>
    <w:rsid w:val="00724CEC"/>
    <w:rsid w:val="007357A4"/>
    <w:rsid w:val="0074167E"/>
    <w:rsid w:val="0074322B"/>
    <w:rsid w:val="00745B26"/>
    <w:rsid w:val="00756EA6"/>
    <w:rsid w:val="0075701D"/>
    <w:rsid w:val="0076513C"/>
    <w:rsid w:val="0076630F"/>
    <w:rsid w:val="007713CF"/>
    <w:rsid w:val="0077437B"/>
    <w:rsid w:val="007752E6"/>
    <w:rsid w:val="0078223B"/>
    <w:rsid w:val="00783C9F"/>
    <w:rsid w:val="00784E58"/>
    <w:rsid w:val="00786DB3"/>
    <w:rsid w:val="00791A33"/>
    <w:rsid w:val="007979AB"/>
    <w:rsid w:val="007A7517"/>
    <w:rsid w:val="007B3ECA"/>
    <w:rsid w:val="007B70BB"/>
    <w:rsid w:val="007D206D"/>
    <w:rsid w:val="007E3E37"/>
    <w:rsid w:val="007F400C"/>
    <w:rsid w:val="00801941"/>
    <w:rsid w:val="00803456"/>
    <w:rsid w:val="008079E8"/>
    <w:rsid w:val="00817316"/>
    <w:rsid w:val="00820E97"/>
    <w:rsid w:val="00823E60"/>
    <w:rsid w:val="00831627"/>
    <w:rsid w:val="00836AC3"/>
    <w:rsid w:val="008375F0"/>
    <w:rsid w:val="00837DE2"/>
    <w:rsid w:val="00850B74"/>
    <w:rsid w:val="00853538"/>
    <w:rsid w:val="00854250"/>
    <w:rsid w:val="008639EF"/>
    <w:rsid w:val="0087495C"/>
    <w:rsid w:val="0087648C"/>
    <w:rsid w:val="00886BFE"/>
    <w:rsid w:val="008906A3"/>
    <w:rsid w:val="00893608"/>
    <w:rsid w:val="00895C0E"/>
    <w:rsid w:val="008A61EB"/>
    <w:rsid w:val="008C3CDE"/>
    <w:rsid w:val="008C6227"/>
    <w:rsid w:val="008C6BD9"/>
    <w:rsid w:val="008D3826"/>
    <w:rsid w:val="008D500B"/>
    <w:rsid w:val="008E245E"/>
    <w:rsid w:val="008E4F02"/>
    <w:rsid w:val="008F0233"/>
    <w:rsid w:val="008F1A22"/>
    <w:rsid w:val="008F55E0"/>
    <w:rsid w:val="00903980"/>
    <w:rsid w:val="00903F78"/>
    <w:rsid w:val="00904988"/>
    <w:rsid w:val="009072D2"/>
    <w:rsid w:val="00911BE6"/>
    <w:rsid w:val="00914EB5"/>
    <w:rsid w:val="00916A27"/>
    <w:rsid w:val="00933E34"/>
    <w:rsid w:val="00961490"/>
    <w:rsid w:val="00961585"/>
    <w:rsid w:val="009624A3"/>
    <w:rsid w:val="00962E24"/>
    <w:rsid w:val="00973127"/>
    <w:rsid w:val="00974288"/>
    <w:rsid w:val="00976360"/>
    <w:rsid w:val="009778A6"/>
    <w:rsid w:val="009841A6"/>
    <w:rsid w:val="009845C4"/>
    <w:rsid w:val="009864B9"/>
    <w:rsid w:val="00987E3F"/>
    <w:rsid w:val="00987E8D"/>
    <w:rsid w:val="00990471"/>
    <w:rsid w:val="009A2021"/>
    <w:rsid w:val="009A2732"/>
    <w:rsid w:val="009A52F8"/>
    <w:rsid w:val="009A55F0"/>
    <w:rsid w:val="009A5889"/>
    <w:rsid w:val="009B10FE"/>
    <w:rsid w:val="009B4939"/>
    <w:rsid w:val="009B4C17"/>
    <w:rsid w:val="009B68EC"/>
    <w:rsid w:val="009B786B"/>
    <w:rsid w:val="009C18B3"/>
    <w:rsid w:val="009C6118"/>
    <w:rsid w:val="009D5A6E"/>
    <w:rsid w:val="009D6474"/>
    <w:rsid w:val="009D680E"/>
    <w:rsid w:val="009F0BC9"/>
    <w:rsid w:val="009F323F"/>
    <w:rsid w:val="009F36A2"/>
    <w:rsid w:val="009F47B5"/>
    <w:rsid w:val="009F7225"/>
    <w:rsid w:val="00A138D2"/>
    <w:rsid w:val="00A2017E"/>
    <w:rsid w:val="00A23CD6"/>
    <w:rsid w:val="00A26E04"/>
    <w:rsid w:val="00A32172"/>
    <w:rsid w:val="00A35507"/>
    <w:rsid w:val="00A4071B"/>
    <w:rsid w:val="00A43ADC"/>
    <w:rsid w:val="00A45BEE"/>
    <w:rsid w:val="00A47545"/>
    <w:rsid w:val="00A47B2B"/>
    <w:rsid w:val="00A54317"/>
    <w:rsid w:val="00A54F6A"/>
    <w:rsid w:val="00A55CD1"/>
    <w:rsid w:val="00A5681F"/>
    <w:rsid w:val="00A576B9"/>
    <w:rsid w:val="00A65422"/>
    <w:rsid w:val="00A65CF7"/>
    <w:rsid w:val="00A82640"/>
    <w:rsid w:val="00A8613A"/>
    <w:rsid w:val="00AA0257"/>
    <w:rsid w:val="00AA1D8C"/>
    <w:rsid w:val="00AA37AC"/>
    <w:rsid w:val="00AA42D4"/>
    <w:rsid w:val="00AA5844"/>
    <w:rsid w:val="00AC0C47"/>
    <w:rsid w:val="00AC6BBA"/>
    <w:rsid w:val="00AD0431"/>
    <w:rsid w:val="00AD411A"/>
    <w:rsid w:val="00AD7473"/>
    <w:rsid w:val="00AE1027"/>
    <w:rsid w:val="00AE1AB4"/>
    <w:rsid w:val="00AE217C"/>
    <w:rsid w:val="00AE2B41"/>
    <w:rsid w:val="00AE39F0"/>
    <w:rsid w:val="00AE3B83"/>
    <w:rsid w:val="00AE3C12"/>
    <w:rsid w:val="00AE44DB"/>
    <w:rsid w:val="00AF4B45"/>
    <w:rsid w:val="00AF52F1"/>
    <w:rsid w:val="00AF6B0F"/>
    <w:rsid w:val="00B011C3"/>
    <w:rsid w:val="00B020B6"/>
    <w:rsid w:val="00B109AF"/>
    <w:rsid w:val="00B21DE6"/>
    <w:rsid w:val="00B23C42"/>
    <w:rsid w:val="00B24974"/>
    <w:rsid w:val="00B333B4"/>
    <w:rsid w:val="00B41561"/>
    <w:rsid w:val="00B449E0"/>
    <w:rsid w:val="00B54EFE"/>
    <w:rsid w:val="00B57AD4"/>
    <w:rsid w:val="00B675E0"/>
    <w:rsid w:val="00B71244"/>
    <w:rsid w:val="00B768F5"/>
    <w:rsid w:val="00B9271B"/>
    <w:rsid w:val="00B97AB4"/>
    <w:rsid w:val="00BA0FA9"/>
    <w:rsid w:val="00BA5AEF"/>
    <w:rsid w:val="00BB31D0"/>
    <w:rsid w:val="00BB7DEF"/>
    <w:rsid w:val="00BC1A95"/>
    <w:rsid w:val="00BD2D0A"/>
    <w:rsid w:val="00BD51CB"/>
    <w:rsid w:val="00BE4184"/>
    <w:rsid w:val="00BF6659"/>
    <w:rsid w:val="00C014D5"/>
    <w:rsid w:val="00C03CFC"/>
    <w:rsid w:val="00C05737"/>
    <w:rsid w:val="00C13EB1"/>
    <w:rsid w:val="00C1743A"/>
    <w:rsid w:val="00C20E57"/>
    <w:rsid w:val="00C40693"/>
    <w:rsid w:val="00C45BC2"/>
    <w:rsid w:val="00C50D4C"/>
    <w:rsid w:val="00C6587E"/>
    <w:rsid w:val="00C747A5"/>
    <w:rsid w:val="00C757AF"/>
    <w:rsid w:val="00C84BFE"/>
    <w:rsid w:val="00C85B91"/>
    <w:rsid w:val="00C938F2"/>
    <w:rsid w:val="00C93D03"/>
    <w:rsid w:val="00CB2A13"/>
    <w:rsid w:val="00CB4BA2"/>
    <w:rsid w:val="00CB5494"/>
    <w:rsid w:val="00CD7419"/>
    <w:rsid w:val="00CE00E0"/>
    <w:rsid w:val="00CF1102"/>
    <w:rsid w:val="00CF2DB0"/>
    <w:rsid w:val="00D02974"/>
    <w:rsid w:val="00D12C77"/>
    <w:rsid w:val="00D21483"/>
    <w:rsid w:val="00D277CD"/>
    <w:rsid w:val="00D33AB8"/>
    <w:rsid w:val="00D41090"/>
    <w:rsid w:val="00D421AE"/>
    <w:rsid w:val="00D4224D"/>
    <w:rsid w:val="00D47BDB"/>
    <w:rsid w:val="00D50734"/>
    <w:rsid w:val="00D53519"/>
    <w:rsid w:val="00D56A50"/>
    <w:rsid w:val="00D703E7"/>
    <w:rsid w:val="00D72CC6"/>
    <w:rsid w:val="00D73585"/>
    <w:rsid w:val="00D75201"/>
    <w:rsid w:val="00D75FFD"/>
    <w:rsid w:val="00D86DF6"/>
    <w:rsid w:val="00D9149F"/>
    <w:rsid w:val="00D93984"/>
    <w:rsid w:val="00DA0BD5"/>
    <w:rsid w:val="00DA6495"/>
    <w:rsid w:val="00DB0904"/>
    <w:rsid w:val="00DB0999"/>
    <w:rsid w:val="00DB425A"/>
    <w:rsid w:val="00DB7679"/>
    <w:rsid w:val="00DC185F"/>
    <w:rsid w:val="00DC504B"/>
    <w:rsid w:val="00DD659A"/>
    <w:rsid w:val="00DE1F20"/>
    <w:rsid w:val="00DE22CD"/>
    <w:rsid w:val="00DE2F84"/>
    <w:rsid w:val="00DE4E1E"/>
    <w:rsid w:val="00DE6786"/>
    <w:rsid w:val="00DF25EF"/>
    <w:rsid w:val="00DF3BFC"/>
    <w:rsid w:val="00E04126"/>
    <w:rsid w:val="00E06402"/>
    <w:rsid w:val="00E1167C"/>
    <w:rsid w:val="00E17268"/>
    <w:rsid w:val="00E222BC"/>
    <w:rsid w:val="00E2687F"/>
    <w:rsid w:val="00E3053D"/>
    <w:rsid w:val="00E30B9E"/>
    <w:rsid w:val="00E34DBA"/>
    <w:rsid w:val="00E350C2"/>
    <w:rsid w:val="00E438C0"/>
    <w:rsid w:val="00E45A16"/>
    <w:rsid w:val="00E51B27"/>
    <w:rsid w:val="00E570C1"/>
    <w:rsid w:val="00E6438D"/>
    <w:rsid w:val="00E74773"/>
    <w:rsid w:val="00E766F3"/>
    <w:rsid w:val="00E813BA"/>
    <w:rsid w:val="00E83604"/>
    <w:rsid w:val="00E84D36"/>
    <w:rsid w:val="00E85885"/>
    <w:rsid w:val="00E864EF"/>
    <w:rsid w:val="00E879E0"/>
    <w:rsid w:val="00E90CDB"/>
    <w:rsid w:val="00E93772"/>
    <w:rsid w:val="00E943C4"/>
    <w:rsid w:val="00E9799B"/>
    <w:rsid w:val="00EA13C5"/>
    <w:rsid w:val="00EA2B9B"/>
    <w:rsid w:val="00EA39B2"/>
    <w:rsid w:val="00EA3E68"/>
    <w:rsid w:val="00EB08A5"/>
    <w:rsid w:val="00EB6F5D"/>
    <w:rsid w:val="00EC0EE4"/>
    <w:rsid w:val="00EC1B29"/>
    <w:rsid w:val="00ED0465"/>
    <w:rsid w:val="00ED081D"/>
    <w:rsid w:val="00ED1E6C"/>
    <w:rsid w:val="00ED4D57"/>
    <w:rsid w:val="00ED533B"/>
    <w:rsid w:val="00ED5540"/>
    <w:rsid w:val="00EE0094"/>
    <w:rsid w:val="00EE17AD"/>
    <w:rsid w:val="00EE6775"/>
    <w:rsid w:val="00EE6BEF"/>
    <w:rsid w:val="00EF15E3"/>
    <w:rsid w:val="00EF6D2D"/>
    <w:rsid w:val="00F01752"/>
    <w:rsid w:val="00F04501"/>
    <w:rsid w:val="00F12BE7"/>
    <w:rsid w:val="00F12F0C"/>
    <w:rsid w:val="00F13E6C"/>
    <w:rsid w:val="00F17C5A"/>
    <w:rsid w:val="00F2018C"/>
    <w:rsid w:val="00F22351"/>
    <w:rsid w:val="00F27444"/>
    <w:rsid w:val="00F40170"/>
    <w:rsid w:val="00F477A5"/>
    <w:rsid w:val="00F50A12"/>
    <w:rsid w:val="00F50C60"/>
    <w:rsid w:val="00F5558C"/>
    <w:rsid w:val="00F55A60"/>
    <w:rsid w:val="00F56035"/>
    <w:rsid w:val="00F646AF"/>
    <w:rsid w:val="00F76A33"/>
    <w:rsid w:val="00F91F0E"/>
    <w:rsid w:val="00F96CEC"/>
    <w:rsid w:val="00FB007B"/>
    <w:rsid w:val="00FB5B76"/>
    <w:rsid w:val="00FB63E8"/>
    <w:rsid w:val="00FC1174"/>
    <w:rsid w:val="00FD2229"/>
    <w:rsid w:val="00FD35AB"/>
    <w:rsid w:val="00FD3ABF"/>
    <w:rsid w:val="00FD4E49"/>
    <w:rsid w:val="00FD4F2B"/>
    <w:rsid w:val="00FD75FE"/>
    <w:rsid w:val="00FE5AD8"/>
    <w:rsid w:val="00FF02AF"/>
    <w:rsid w:val="00F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22A57-CB13-49F3-A4DD-B4084808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0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01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744F"/>
    <w:rPr>
      <w:color w:val="0000FF"/>
      <w:u w:val="single"/>
    </w:rPr>
  </w:style>
  <w:style w:type="paragraph" w:styleId="BalloonText">
    <w:name w:val="Balloon Text"/>
    <w:basedOn w:val="Normal"/>
    <w:semiHidden/>
    <w:rsid w:val="00A13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xbe">
    <w:name w:val="_xbe"/>
    <w:basedOn w:val="DefaultParagraphFont"/>
    <w:rsid w:val="008F0233"/>
  </w:style>
  <w:style w:type="character" w:customStyle="1" w:styleId="st">
    <w:name w:val="st"/>
    <w:basedOn w:val="DefaultParagraphFont"/>
    <w:rsid w:val="00E813BA"/>
  </w:style>
  <w:style w:type="character" w:styleId="Emphasis">
    <w:name w:val="Emphasis"/>
    <w:basedOn w:val="DefaultParagraphFont"/>
    <w:uiPriority w:val="20"/>
    <w:qFormat/>
    <w:rsid w:val="00E813BA"/>
    <w:rPr>
      <w:i/>
      <w:iCs/>
    </w:rPr>
  </w:style>
  <w:style w:type="paragraph" w:customStyle="1" w:styleId="Default">
    <w:name w:val="Default"/>
    <w:rsid w:val="00D75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94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Година</vt:lpstr>
    </vt:vector>
  </TitlesOfParts>
  <Company>PU-NPD</Company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Година</dc:title>
  <dc:creator>R1-asia3-362</dc:creator>
  <cp:lastModifiedBy>Илиана Саханджиева</cp:lastModifiedBy>
  <cp:revision>31</cp:revision>
  <cp:lastPrinted>2019-01-25T09:34:00Z</cp:lastPrinted>
  <dcterms:created xsi:type="dcterms:W3CDTF">2020-03-09T08:26:00Z</dcterms:created>
  <dcterms:modified xsi:type="dcterms:W3CDTF">2020-03-09T12:22:00Z</dcterms:modified>
</cp:coreProperties>
</file>