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20" w:rsidRPr="00F27444" w:rsidRDefault="001E2520">
      <w:pPr>
        <w:rPr>
          <w:sz w:val="22"/>
          <w:szCs w:val="22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268"/>
        <w:gridCol w:w="4536"/>
        <w:gridCol w:w="3544"/>
      </w:tblGrid>
      <w:tr w:rsidR="001E2520" w:rsidRPr="00F27444" w:rsidTr="00B011C3">
        <w:trPr>
          <w:trHeight w:val="141"/>
        </w:trPr>
        <w:tc>
          <w:tcPr>
            <w:tcW w:w="11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Start Year</w:t>
            </w:r>
          </w:p>
        </w:tc>
        <w:tc>
          <w:tcPr>
            <w:tcW w:w="28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Type of Action</w:t>
            </w:r>
          </w:p>
        </w:tc>
        <w:tc>
          <w:tcPr>
            <w:tcW w:w="2268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Agreement Number</w:t>
            </w:r>
          </w:p>
        </w:tc>
        <w:tc>
          <w:tcPr>
            <w:tcW w:w="4536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3544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Coordinator</w:t>
            </w:r>
          </w:p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813B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F02A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321278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Chain Reaction: A Sustainable to Inquiry Based Science Education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3A3C" w:rsidRPr="00F27444" w:rsidRDefault="002A3A3C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Sheffield Hallam University</w:t>
            </w:r>
            <w:r w:rsidR="009B68EC" w:rsidRPr="00F27444">
              <w:rPr>
                <w:sz w:val="22"/>
                <w:szCs w:val="22"/>
              </w:rPr>
              <w:t>, Sheffield, United Kingdom</w:t>
            </w:r>
            <w:r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E813BA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609736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Triangle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64295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495054" w:rsidP="0049505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2013-ERA-MOB-33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5737" w:rsidRPr="00F27444" w:rsidRDefault="00C0573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  <w:p w:rsidR="00C05737" w:rsidRPr="00F27444" w:rsidRDefault="00C05737" w:rsidP="00CF70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F20" w:rsidRPr="00F27444" w:rsidRDefault="00AE102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DE1F20" w:rsidRPr="00F27444">
              <w:rPr>
                <w:sz w:val="22"/>
                <w:szCs w:val="22"/>
              </w:rPr>
              <w:t>“</w:t>
            </w:r>
            <w:proofErr w:type="spellStart"/>
            <w:r w:rsidR="00DE1F20" w:rsidRPr="00F27444">
              <w:rPr>
                <w:sz w:val="22"/>
                <w:szCs w:val="22"/>
              </w:rPr>
              <w:t>Paisii</w:t>
            </w:r>
            <w:proofErr w:type="spellEnd"/>
            <w:r w:rsidR="00DE1F2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DE1F20" w:rsidRPr="00F27444">
              <w:rPr>
                <w:sz w:val="22"/>
                <w:szCs w:val="22"/>
              </w:rPr>
              <w:t>Hilendarski</w:t>
            </w:r>
            <w:proofErr w:type="spellEnd"/>
            <w:r w:rsidR="00325875" w:rsidRPr="00F27444">
              <w:rPr>
                <w:sz w:val="22"/>
                <w:szCs w:val="22"/>
              </w:rPr>
              <w:t>”</w:t>
            </w:r>
            <w:r w:rsidR="00DE1F20" w:rsidRPr="00F27444">
              <w:rPr>
                <w:sz w:val="22"/>
                <w:szCs w:val="22"/>
              </w:rPr>
              <w:t xml:space="preserve">, Bulgaria; </w:t>
            </w:r>
          </w:p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813BA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613174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SAHWA Empowering the young generation: towards a new social contract in South and East Mediterranean countries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Centre for International Information and Documentation in Barcelona, Spain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042046" w:rsidRPr="00F27444" w:rsidRDefault="00042046" w:rsidP="00853722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SEP-210132800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D1E6C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</w:t>
            </w:r>
            <w:r w:rsidR="00042046" w:rsidRPr="00F27444">
              <w:rPr>
                <w:sz w:val="22"/>
                <w:szCs w:val="22"/>
              </w:rPr>
              <w:t>riangle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K-TRIO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539461-LLP-1-2013-1-BG-ERASMUS-ENW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Future education and training in computing: how to support learning at </w:t>
            </w:r>
            <w:proofErr w:type="spellStart"/>
            <w:r w:rsidRPr="00F27444">
              <w:rPr>
                <w:sz w:val="22"/>
                <w:szCs w:val="22"/>
              </w:rPr>
              <w:t>anytime</w:t>
            </w:r>
            <w:proofErr w:type="spellEnd"/>
            <w:r w:rsidRPr="00F27444">
              <w:rPr>
                <w:sz w:val="22"/>
                <w:szCs w:val="22"/>
              </w:rPr>
              <w:t xml:space="preserve"> anywhere (FETCH)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5B76" w:rsidRPr="00F27444" w:rsidRDefault="00FB5B76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“Angel </w:t>
            </w:r>
            <w:proofErr w:type="spellStart"/>
            <w:r w:rsidRPr="00F27444">
              <w:rPr>
                <w:sz w:val="22"/>
                <w:szCs w:val="22"/>
              </w:rPr>
              <w:t>Kanchev</w:t>
            </w:r>
            <w:proofErr w:type="spellEnd"/>
            <w:r w:rsidRPr="00F27444">
              <w:rPr>
                <w:sz w:val="22"/>
                <w:szCs w:val="22"/>
              </w:rPr>
              <w:t>” University of Ruse, 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90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58553E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</w:t>
            </w:r>
            <w:r w:rsidR="006B3E73" w:rsidRPr="00F27444">
              <w:rPr>
                <w:sz w:val="22"/>
                <w:szCs w:val="22"/>
              </w:rPr>
              <w:t>LLP/</w:t>
            </w:r>
            <w:proofErr w:type="spellStart"/>
            <w:r w:rsidR="006B3E73" w:rsidRPr="00F27444">
              <w:rPr>
                <w:sz w:val="22"/>
                <w:szCs w:val="22"/>
              </w:rPr>
              <w:t>LdV</w:t>
            </w:r>
            <w:proofErr w:type="spellEnd"/>
            <w:r w:rsidR="006B3E73" w:rsidRPr="00F27444">
              <w:rPr>
                <w:sz w:val="22"/>
                <w:szCs w:val="22"/>
              </w:rPr>
              <w:t>/TOI/2-13/IRL-506</w:t>
            </w:r>
          </w:p>
          <w:p w:rsidR="0058553E" w:rsidRPr="00F27444" w:rsidRDefault="0058553E" w:rsidP="00783C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Vocationally Oriented culture and Language in the Medical Emergency Sector</w:t>
            </w:r>
          </w:p>
          <w:p w:rsidR="006B3E73" w:rsidRPr="00F27444" w:rsidRDefault="006B3E73" w:rsidP="00246D2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D72CC6" w:rsidP="000611C9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t>Institute of Technology, Tralee, Ireland</w:t>
            </w:r>
            <w:r w:rsidR="00201E9A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895C0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2015-1-BG01-KA103-013729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9F36A2" w:rsidP="009F36A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854250" w:rsidRPr="00F27444">
              <w:rPr>
                <w:sz w:val="22"/>
                <w:szCs w:val="22"/>
              </w:rPr>
              <w:t>“</w:t>
            </w:r>
            <w:proofErr w:type="spellStart"/>
            <w:r w:rsidR="00854250" w:rsidRPr="00F27444">
              <w:rPr>
                <w:sz w:val="22"/>
                <w:szCs w:val="22"/>
              </w:rPr>
              <w:t>Paisii</w:t>
            </w:r>
            <w:proofErr w:type="spellEnd"/>
            <w:r w:rsidR="0085425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54250"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</w:t>
            </w:r>
            <w:r w:rsidR="00201E9A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ERASMUS+</w:t>
            </w:r>
            <w:r w:rsidR="00AE217C" w:rsidRPr="00F27444">
              <w:rPr>
                <w:sz w:val="22"/>
                <w:szCs w:val="22"/>
              </w:rPr>
              <w:t>Programme,Key</w:t>
            </w:r>
            <w:proofErr w:type="spellEnd"/>
            <w:r w:rsidR="00AE217C" w:rsidRPr="00F27444">
              <w:rPr>
                <w:sz w:val="22"/>
                <w:szCs w:val="22"/>
              </w:rPr>
              <w:t xml:space="preserve"> action</w:t>
            </w:r>
            <w:r w:rsidR="00DE1F20" w:rsidRPr="00F27444">
              <w:rPr>
                <w:sz w:val="22"/>
                <w:szCs w:val="22"/>
              </w:rPr>
              <w:t xml:space="preserve"> 2</w:t>
            </w:r>
            <w:r w:rsidR="00AE217C" w:rsidRPr="00F27444">
              <w:rPr>
                <w:sz w:val="22"/>
                <w:szCs w:val="22"/>
              </w:rPr>
              <w:t xml:space="preserve"> –Cooperation for innovation and exchange of good practices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2014-1-RO01-KA201-002957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A3E6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Gifted for Y</w:t>
            </w:r>
            <w:r w:rsidR="006B3E73" w:rsidRPr="00F27444">
              <w:rPr>
                <w:sz w:val="22"/>
                <w:szCs w:val="22"/>
              </w:rPr>
              <w:t>ou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21230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“St. Mary” Special Middle School for The Hearing-</w:t>
            </w:r>
            <w:r w:rsidR="00B24974" w:rsidRPr="00F27444">
              <w:rPr>
                <w:sz w:val="22"/>
                <w:szCs w:val="22"/>
              </w:rPr>
              <w:t>Impaired</w:t>
            </w:r>
            <w:r w:rsidRPr="00F27444">
              <w:rPr>
                <w:sz w:val="22"/>
                <w:szCs w:val="22"/>
              </w:rPr>
              <w:t>, Romania</w:t>
            </w:r>
            <w:r w:rsidR="00D47BDB" w:rsidRPr="00F27444">
              <w:rPr>
                <w:sz w:val="22"/>
                <w:szCs w:val="22"/>
              </w:rPr>
              <w:t>;</w:t>
            </w:r>
          </w:p>
          <w:p w:rsidR="001345B5" w:rsidRPr="00F27444" w:rsidRDefault="001345B5" w:rsidP="00962E24">
            <w:pPr>
              <w:rPr>
                <w:sz w:val="22"/>
                <w:szCs w:val="22"/>
              </w:rPr>
            </w:pPr>
          </w:p>
        </w:tc>
      </w:tr>
      <w:tr w:rsidR="00474076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D0297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lastRenderedPageBreak/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BG02 INTEGRATED MARINE AND INLAND WATER MANEAGMENT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t>Д-34-18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39300A" w:rsidP="0039300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Performance of investigative monitoring program for assessment of pressure and impact of fish farming activities on surface water bodies and </w:t>
            </w:r>
            <w:proofErr w:type="spellStart"/>
            <w:r w:rsidRPr="00F27444">
              <w:rPr>
                <w:sz w:val="22"/>
                <w:szCs w:val="22"/>
              </w:rPr>
              <w:t>actualiziation</w:t>
            </w:r>
            <w:proofErr w:type="spellEnd"/>
            <w:r w:rsidRPr="00F27444">
              <w:rPr>
                <w:sz w:val="22"/>
                <w:szCs w:val="22"/>
              </w:rPr>
              <w:t xml:space="preserve"> of program of measures in the RMBP of East Aegean River Basin District (FISHFARMING)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4988" w:rsidRPr="00F27444" w:rsidRDefault="0090498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The Ministry of Environment and Water</w:t>
            </w:r>
            <w:r w:rsidR="00F27444" w:rsidRPr="00F27444">
              <w:rPr>
                <w:sz w:val="22"/>
                <w:szCs w:val="22"/>
              </w:rPr>
              <w:t xml:space="preserve"> </w:t>
            </w:r>
          </w:p>
          <w:p w:rsidR="00474076" w:rsidRPr="00F27444" w:rsidRDefault="00E570C1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East Aegean River Basin Directorate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57035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662268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History of Nuclear Energy and Society (</w:t>
            </w:r>
            <w:proofErr w:type="spellStart"/>
            <w:r w:rsidRPr="00F27444">
              <w:rPr>
                <w:sz w:val="22"/>
                <w:szCs w:val="22"/>
              </w:rPr>
              <w:t>HoNEST</w:t>
            </w:r>
            <w:proofErr w:type="spellEnd"/>
            <w:r w:rsidRPr="00F27444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F646AF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Pompeu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Fabra</w:t>
            </w:r>
            <w:proofErr w:type="spellEnd"/>
            <w:r w:rsidRPr="00F27444">
              <w:rPr>
                <w:sz w:val="22"/>
                <w:szCs w:val="22"/>
              </w:rPr>
              <w:t xml:space="preserve"> University, Barcelona, Spain;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E0412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Creative Europe</w:t>
            </w:r>
            <w:r w:rsidR="0015396B" w:rsidRPr="00F27444">
              <w:rPr>
                <w:rFonts w:ascii="Times New Roman" w:eastAsia="Times New Roman" w:hAnsi="Times New Roman"/>
              </w:rPr>
              <w:t xml:space="preserve"> (CREA)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559393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A5681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„CU TENDA” – STORIES, IMAGES AND SOUNDS</w:t>
            </w:r>
            <w:r w:rsidR="00C747A5" w:rsidRPr="00F27444">
              <w:rPr>
                <w:sz w:val="22"/>
                <w:szCs w:val="22"/>
              </w:rPr>
              <w:t xml:space="preserve"> ON THE MOVE [Living memory of S</w:t>
            </w:r>
            <w:r w:rsidRPr="00F27444">
              <w:rPr>
                <w:sz w:val="22"/>
                <w:szCs w:val="22"/>
              </w:rPr>
              <w:t>outheastern Europe]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67195B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Museum o</w:t>
            </w:r>
            <w:r w:rsidR="003D1120" w:rsidRPr="00F27444">
              <w:rPr>
                <w:sz w:val="22"/>
                <w:szCs w:val="22"/>
              </w:rPr>
              <w:t>f The Romanian Peasant</w:t>
            </w:r>
            <w:r w:rsidR="00D47BDB" w:rsidRPr="00F27444">
              <w:rPr>
                <w:sz w:val="22"/>
                <w:szCs w:val="22"/>
              </w:rPr>
              <w:t xml:space="preserve">, </w:t>
            </w:r>
            <w:proofErr w:type="spellStart"/>
            <w:r w:rsidR="00D47BDB" w:rsidRPr="00F27444">
              <w:rPr>
                <w:sz w:val="22"/>
                <w:szCs w:val="22"/>
              </w:rPr>
              <w:t>Romenia</w:t>
            </w:r>
            <w:proofErr w:type="spellEnd"/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12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206E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2: Strategic Partnerships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2015-1-LV01-KA203-013439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Implementation of Software Engineering Competence Remote Evaluation for Master Program Graduates (ISECRET)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30317" w:rsidP="003C777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Transport and Telecommunication Institute</w:t>
            </w:r>
            <w:r w:rsidR="00D47BDB" w:rsidRPr="00F27444">
              <w:rPr>
                <w:sz w:val="22"/>
                <w:szCs w:val="22"/>
              </w:rPr>
              <w:t>,</w:t>
            </w:r>
            <w:r w:rsidR="003C777F" w:rsidRPr="00F27444">
              <w:rPr>
                <w:sz w:val="22"/>
                <w:szCs w:val="22"/>
              </w:rPr>
              <w:t xml:space="preserve"> Riga, </w:t>
            </w:r>
            <w:r w:rsidRPr="00F27444">
              <w:rPr>
                <w:sz w:val="22"/>
                <w:szCs w:val="22"/>
              </w:rPr>
              <w:t>Latvia</w:t>
            </w:r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3 - Support for policy reform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Forward-Looking Cooperation Projects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345F4" w:rsidP="00ED4D57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562113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Using mobile technology to improve policy Reform for Inclusion of Disadvantaged Groups in Education – </w:t>
            </w:r>
            <w:proofErr w:type="spellStart"/>
            <w:r w:rsidRPr="00F27444">
              <w:rPr>
                <w:sz w:val="22"/>
                <w:szCs w:val="22"/>
              </w:rPr>
              <w:t>mRIDGE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430317" w:rsidRPr="00F27444">
              <w:rPr>
                <w:sz w:val="22"/>
                <w:szCs w:val="22"/>
              </w:rPr>
              <w:t>“Paisii</w:t>
            </w:r>
            <w:proofErr w:type="spellEnd"/>
            <w:r w:rsidR="00430317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430317" w:rsidRPr="00F27444">
              <w:rPr>
                <w:sz w:val="22"/>
                <w:szCs w:val="22"/>
              </w:rPr>
              <w:t>Hilendarski</w:t>
            </w:r>
            <w:proofErr w:type="spellEnd"/>
            <w:r w:rsidR="00ED4D57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19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2015-2852/001-001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 Improving Higher Education Quality in Jordan using Mobile Technologies for Better Integration of Disadvantaged Groups to Socio-economic Diversity (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mEQUITY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>)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A32172" w:rsidRPr="00F27444">
              <w:rPr>
                <w:sz w:val="22"/>
                <w:szCs w:val="22"/>
              </w:rPr>
              <w:t>“Paisii</w:t>
            </w:r>
            <w:proofErr w:type="spellEnd"/>
            <w:r w:rsidR="00A3217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A32172" w:rsidRPr="00F27444">
              <w:rPr>
                <w:sz w:val="22"/>
                <w:szCs w:val="22"/>
              </w:rPr>
              <w:t>Hilendarski</w:t>
            </w:r>
            <w:proofErr w:type="spellEnd"/>
            <w:r w:rsidR="006345F4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F55A60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 xml:space="preserve">+ Programme, Key Action 2 – Strategic Partnerships for Higher </w:t>
            </w:r>
            <w:r w:rsidR="006B3E73" w:rsidRPr="00F27444">
              <w:rPr>
                <w:rFonts w:ascii="Times New Roman" w:eastAsia="Times New Roman" w:hAnsi="Times New Roman"/>
              </w:rPr>
              <w:lastRenderedPageBreak/>
              <w:t>Education,  Cooperation for innovation and the exchange of good practices</w:t>
            </w:r>
          </w:p>
          <w:p w:rsidR="006B3E73" w:rsidRPr="00F27444" w:rsidRDefault="006B3E73" w:rsidP="00A23C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2235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2015-1-IE02-KA203-000420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B23C4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Crafting Employability Strategies for HE Students of Languages in</w:t>
            </w:r>
            <w:r w:rsidR="00820E97" w:rsidRPr="00F27444">
              <w:rPr>
                <w:rFonts w:ascii="Times New Roman" w:eastAsia="Times New Roman" w:hAnsi="Times New Roman"/>
              </w:rPr>
              <w:t xml:space="preserve"> Europe – Career Services, (CES</w:t>
            </w:r>
            <w:r w:rsidRPr="00F27444">
              <w:rPr>
                <w:rFonts w:ascii="Times New Roman" w:eastAsia="Times New Roman" w:hAnsi="Times New Roman"/>
              </w:rPr>
              <w:t>&amp;L)</w:t>
            </w:r>
          </w:p>
          <w:p w:rsidR="006B3E73" w:rsidRPr="00F27444" w:rsidRDefault="006B3E73" w:rsidP="00916A27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D47BDB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lastRenderedPageBreak/>
              <w:t>Institute of Technology, Tralee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F27444">
              <w:rPr>
                <w:rFonts w:eastAsia="Calibri"/>
                <w:color w:val="000000"/>
                <w:sz w:val="22"/>
                <w:szCs w:val="22"/>
              </w:rPr>
              <w:t>Ireland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76360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561940-EPP-1-2015-1-JO-EPPKA2-CBHE-JP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Modernization of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TEaching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MeThodologies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in Higher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educatiOn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: EU experience for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JorDan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and 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PaleStinian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Territory, (METHODS)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962E24">
            <w:pPr>
              <w:rPr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Jordan</w:t>
            </w:r>
            <w:r w:rsidR="00DE6786" w:rsidRPr="00F27444">
              <w:rPr>
                <w:noProof/>
                <w:sz w:val="22"/>
                <w:szCs w:val="22"/>
              </w:rPr>
              <w:t>, Aman, Jordan;</w:t>
            </w:r>
          </w:p>
        </w:tc>
      </w:tr>
      <w:tr w:rsidR="00DE1F20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DE1F20" w:rsidRPr="00F27444" w:rsidRDefault="00DE1F20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DE1F20" w:rsidRPr="00F27444" w:rsidRDefault="00817316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C3CDE" w:rsidRPr="00F27444" w:rsidRDefault="00325875" w:rsidP="000038DB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F12BE7" w:rsidRPr="00F27444">
              <w:rPr>
                <w:sz w:val="22"/>
                <w:szCs w:val="22"/>
                <w:lang w:val="bg-BG"/>
              </w:rPr>
              <w:t>№16/</w:t>
            </w:r>
            <w:r w:rsidR="00642A6F" w:rsidRPr="00F27444">
              <w:rPr>
                <w:sz w:val="22"/>
                <w:szCs w:val="22"/>
              </w:rPr>
              <w:t xml:space="preserve">theme </w:t>
            </w:r>
            <w:r w:rsidR="00F12BE7" w:rsidRPr="00F27444">
              <w:rPr>
                <w:sz w:val="22"/>
                <w:szCs w:val="22"/>
                <w:lang w:val="bg-BG"/>
              </w:rPr>
              <w:t>04-5-1076-2009/2016</w:t>
            </w:r>
          </w:p>
          <w:p w:rsidR="008079E8" w:rsidRPr="00F27444" w:rsidRDefault="00642A6F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point</w:t>
            </w:r>
            <w:r w:rsidR="008079E8" w:rsidRPr="00F27444">
              <w:rPr>
                <w:sz w:val="22"/>
                <w:szCs w:val="22"/>
                <w:lang w:val="bg-BG"/>
              </w:rPr>
              <w:t xml:space="preserve"> №17/</w:t>
            </w:r>
            <w:r w:rsidRPr="00F27444">
              <w:rPr>
                <w:sz w:val="22"/>
                <w:szCs w:val="22"/>
              </w:rPr>
              <w:t xml:space="preserve">theme </w:t>
            </w:r>
            <w:r w:rsidR="008079E8" w:rsidRPr="00F27444">
              <w:rPr>
                <w:sz w:val="22"/>
                <w:szCs w:val="22"/>
                <w:lang w:val="bg-BG"/>
              </w:rPr>
              <w:t>04-5-1076-2009/2016</w:t>
            </w:r>
          </w:p>
        </w:tc>
        <w:tc>
          <w:tcPr>
            <w:tcW w:w="4536" w:type="dxa"/>
          </w:tcPr>
          <w:p w:rsidR="00DE1F20" w:rsidRPr="00F27444" w:rsidRDefault="00F12BE7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</w:t>
            </w:r>
            <w:r w:rsidR="008C3CDE" w:rsidRPr="00F27444">
              <w:rPr>
                <w:sz w:val="22"/>
                <w:szCs w:val="22"/>
              </w:rPr>
              <w:t xml:space="preserve">e study of the trace elements distribution in Bulgarian tobacco plants by X-ray and </w:t>
            </w:r>
            <w:proofErr w:type="gramStart"/>
            <w:r w:rsidR="008C3CDE" w:rsidRPr="00F27444">
              <w:rPr>
                <w:sz w:val="22"/>
                <w:szCs w:val="22"/>
              </w:rPr>
              <w:t>nuclear  analytical</w:t>
            </w:r>
            <w:proofErr w:type="gramEnd"/>
            <w:r w:rsidR="008C3CDE" w:rsidRPr="00F27444">
              <w:rPr>
                <w:sz w:val="22"/>
                <w:szCs w:val="22"/>
              </w:rPr>
              <w:t xml:space="preserve"> methods .</w:t>
            </w:r>
          </w:p>
        </w:tc>
        <w:tc>
          <w:tcPr>
            <w:tcW w:w="3544" w:type="dxa"/>
          </w:tcPr>
          <w:p w:rsidR="00817316" w:rsidRPr="00F27444" w:rsidRDefault="00AE1027" w:rsidP="00E32BC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9A2732" w:rsidRPr="00F27444">
              <w:rPr>
                <w:sz w:val="22"/>
                <w:szCs w:val="22"/>
              </w:rPr>
              <w:t>“</w:t>
            </w:r>
            <w:proofErr w:type="spellStart"/>
            <w:r w:rsidR="009A2732" w:rsidRPr="00F27444">
              <w:rPr>
                <w:sz w:val="22"/>
                <w:szCs w:val="22"/>
              </w:rPr>
              <w:t>Paisii</w:t>
            </w:r>
            <w:proofErr w:type="spellEnd"/>
            <w:r w:rsidR="009A273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9A2732" w:rsidRPr="00F27444">
              <w:rPr>
                <w:sz w:val="22"/>
                <w:szCs w:val="22"/>
              </w:rPr>
              <w:t>Hilendarski</w:t>
            </w:r>
            <w:proofErr w:type="spellEnd"/>
            <w:r w:rsidR="009A2732" w:rsidRPr="00F27444">
              <w:rPr>
                <w:sz w:val="22"/>
                <w:szCs w:val="22"/>
              </w:rPr>
              <w:t>” Bulgaria;</w:t>
            </w:r>
          </w:p>
          <w:p w:rsidR="00DE1F20" w:rsidRPr="00F27444" w:rsidRDefault="00DE1F20" w:rsidP="00E32BC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8079E8" w:rsidRPr="00F27444" w:rsidRDefault="0023100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079E8" w:rsidRPr="00F27444" w:rsidRDefault="00325875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№15/</w:t>
            </w:r>
            <w:r w:rsidR="00642A6F" w:rsidRPr="00F27444">
              <w:rPr>
                <w:sz w:val="22"/>
                <w:szCs w:val="22"/>
              </w:rPr>
              <w:t>theme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03-04-1104-2011-2016</w:t>
            </w:r>
          </w:p>
        </w:tc>
        <w:tc>
          <w:tcPr>
            <w:tcW w:w="4536" w:type="dxa"/>
          </w:tcPr>
          <w:p w:rsidR="008079E8" w:rsidRPr="00F27444" w:rsidRDefault="008079E8" w:rsidP="008C3CD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Assessment of atmosphere deposition of pollutants in Bulgaria based on neutron activation analysis of moss </w:t>
            </w:r>
            <w:proofErr w:type="spellStart"/>
            <w:r w:rsidRPr="00F27444">
              <w:rPr>
                <w:sz w:val="22"/>
                <w:szCs w:val="22"/>
              </w:rPr>
              <w:t>biomonitors</w:t>
            </w:r>
            <w:proofErr w:type="spellEnd"/>
          </w:p>
        </w:tc>
        <w:tc>
          <w:tcPr>
            <w:tcW w:w="3544" w:type="dxa"/>
          </w:tcPr>
          <w:p w:rsidR="008079E8" w:rsidRPr="00F27444" w:rsidRDefault="00AE1027" w:rsidP="00AB02D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  <w:p w:rsidR="008079E8" w:rsidRPr="00F27444" w:rsidRDefault="008079E8" w:rsidP="00AB02D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C85B9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ERASMUS+, Initiatives for Policy Innovations, Policy Innovation in School Education Sector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  <w:lang w:val="it-IT"/>
              </w:rPr>
              <w:t>2015-3741/001-001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A New Way for New Talents in Teaching (NEWTT)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E1AB4">
            <w:pPr>
              <w:rPr>
                <w:noProof/>
                <w:sz w:val="22"/>
                <w:szCs w:val="22"/>
              </w:rPr>
            </w:pPr>
            <w:r w:rsidRPr="00F27444">
              <w:rPr>
                <w:sz w:val="22"/>
                <w:szCs w:val="22"/>
                <w:lang w:val="it-IT"/>
              </w:rPr>
              <w:t>Teach for Bulgaria (Zaedno v Chas), Sofia, Bulgaria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693167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Policies Supporting Young People in their Life Course. A Comparative Perspective of Lifelong Learning and Inclusion in Education and Work in Europe (YOUNG_ADULLLT)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Münster, Münster, Germany;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Programme, Key Action 2 - Cooperation for innovation and the exchange of good practices</w:t>
            </w:r>
          </w:p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D411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2015-3005/001-001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76630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Bridging Innovations, Health and Societies: Educational capacity building in the Eastern European </w:t>
            </w:r>
            <w:proofErr w:type="spellStart"/>
            <w:r w:rsidRPr="00F27444">
              <w:rPr>
                <w:sz w:val="22"/>
                <w:szCs w:val="22"/>
              </w:rPr>
              <w:t>Neighbouring</w:t>
            </w:r>
            <w:proofErr w:type="spellEnd"/>
            <w:r w:rsidRPr="00F27444">
              <w:rPr>
                <w:sz w:val="22"/>
                <w:szCs w:val="22"/>
              </w:rPr>
              <w:t xml:space="preserve"> Areas (BIHSENA)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Maastricht University, Maastricht, Netherlands;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The </w:t>
            </w:r>
            <w:proofErr w:type="spellStart"/>
            <w:r w:rsidRPr="00F27444">
              <w:rPr>
                <w:sz w:val="22"/>
                <w:szCs w:val="22"/>
              </w:rPr>
              <w:t>Leverhulme</w:t>
            </w:r>
            <w:proofErr w:type="spellEnd"/>
            <w:r w:rsidRPr="00F27444">
              <w:rPr>
                <w:sz w:val="22"/>
                <w:szCs w:val="22"/>
              </w:rPr>
              <w:t xml:space="preserve"> Trust, London, United Kingdom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CLS-2519-01/27.04.2014</w:t>
            </w:r>
          </w:p>
        </w:tc>
        <w:tc>
          <w:tcPr>
            <w:tcW w:w="4536" w:type="dxa"/>
          </w:tcPr>
          <w:p w:rsidR="008079E8" w:rsidRPr="00F27444" w:rsidRDefault="008079E8" w:rsidP="00297E00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Fr</w:t>
            </w:r>
            <w:r w:rsidR="00297E00"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Pr="00F27444">
              <w:rPr>
                <w:sz w:val="22"/>
                <w:szCs w:val="22"/>
              </w:rPr>
              <w:t xml:space="preserve">ming financial crisis and protest: North-West and East Europe </w:t>
            </w:r>
          </w:p>
        </w:tc>
        <w:tc>
          <w:tcPr>
            <w:tcW w:w="3544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The Open University, United Kingdom 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9841A6">
              <w:rPr>
                <w:sz w:val="22"/>
                <w:szCs w:val="22"/>
              </w:rPr>
              <w:t xml:space="preserve"> Programme;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2016-1-BG01-KA103-022921/04.08.2016г.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D5073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201</w:t>
            </w:r>
            <w:r w:rsidRPr="00F27444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9841A6">
              <w:rPr>
                <w:sz w:val="22"/>
                <w:szCs w:val="22"/>
              </w:rPr>
              <w:t xml:space="preserve"> Programme;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2016-1-BG-01-КА107-023255/НЕ-47/31.08.2016г.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”, Bulgaria;</w:t>
            </w:r>
          </w:p>
        </w:tc>
      </w:tr>
      <w:tr w:rsidR="00267F0C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267F0C" w:rsidRDefault="00267F0C" w:rsidP="009A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D73585" w:rsidRPr="00D7358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585">
              <w:rPr>
                <w:sz w:val="22"/>
                <w:szCs w:val="22"/>
              </w:rPr>
              <w:t>Horizon 2020</w:t>
            </w:r>
          </w:p>
          <w:p w:rsidR="00D73585" w:rsidRPr="00D7358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585">
              <w:rPr>
                <w:sz w:val="22"/>
                <w:szCs w:val="22"/>
              </w:rPr>
              <w:t>Research Executive Agency</w:t>
            </w:r>
          </w:p>
          <w:p w:rsidR="00D73585" w:rsidRPr="00FF1CF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>Excellent Science;</w:t>
            </w:r>
          </w:p>
          <w:p w:rsidR="00267F0C" w:rsidRPr="00F27444" w:rsidRDefault="00D73585" w:rsidP="00D73585">
            <w:pPr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 xml:space="preserve">Marie </w:t>
            </w:r>
            <w:proofErr w:type="spellStart"/>
            <w:r w:rsidRPr="00FF1CF5">
              <w:rPr>
                <w:sz w:val="22"/>
                <w:szCs w:val="22"/>
              </w:rPr>
              <w:t>Sklodowska-Curie;Innovative</w:t>
            </w:r>
            <w:proofErr w:type="spellEnd"/>
            <w:r w:rsidRPr="00FF1CF5">
              <w:rPr>
                <w:sz w:val="22"/>
                <w:szCs w:val="22"/>
              </w:rPr>
              <w:t xml:space="preserve"> Training Networks;</w:t>
            </w:r>
          </w:p>
        </w:tc>
        <w:tc>
          <w:tcPr>
            <w:tcW w:w="2268" w:type="dxa"/>
          </w:tcPr>
          <w:p w:rsidR="00267F0C" w:rsidRDefault="007B3ECA" w:rsidP="007B3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NUMBER- </w:t>
            </w:r>
            <w:r w:rsidRPr="007B3ECA">
              <w:rPr>
                <w:sz w:val="22"/>
                <w:szCs w:val="22"/>
              </w:rPr>
              <w:t xml:space="preserve">765492 </w:t>
            </w:r>
            <w:r w:rsidR="00B54EFE">
              <w:rPr>
                <w:sz w:val="22"/>
                <w:szCs w:val="22"/>
              </w:rPr>
              <w:t>–</w:t>
            </w:r>
            <w:r w:rsidRPr="007B3ECA">
              <w:rPr>
                <w:sz w:val="22"/>
                <w:szCs w:val="22"/>
              </w:rPr>
              <w:t xml:space="preserve"> ELBA</w:t>
            </w:r>
          </w:p>
          <w:p w:rsidR="00B54EFE" w:rsidRPr="00414ECD" w:rsidRDefault="00B54EFE" w:rsidP="007B3ECA">
            <w:pPr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>(H2020-MSCA-ITN-2017/H2020-MSCA-ITN-2017)</w:t>
            </w:r>
          </w:p>
        </w:tc>
        <w:tc>
          <w:tcPr>
            <w:tcW w:w="4536" w:type="dxa"/>
          </w:tcPr>
          <w:p w:rsidR="00457FC8" w:rsidRPr="00457FC8" w:rsidRDefault="00457FC8" w:rsidP="004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FC8">
              <w:rPr>
                <w:sz w:val="22"/>
                <w:szCs w:val="22"/>
              </w:rPr>
              <w:t>European Liquid Biopsies Academy - Towards</w:t>
            </w:r>
          </w:p>
          <w:p w:rsidR="00267F0C" w:rsidRPr="00853538" w:rsidRDefault="00457FC8" w:rsidP="004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FC8">
              <w:rPr>
                <w:sz w:val="22"/>
                <w:szCs w:val="22"/>
              </w:rPr>
              <w:t xml:space="preserve">widespread clinical application of blood- based diagnostic tools </w:t>
            </w:r>
            <w:r w:rsidR="002E103E">
              <w:rPr>
                <w:sz w:val="22"/>
                <w:szCs w:val="22"/>
              </w:rPr>
              <w:t>-</w:t>
            </w:r>
            <w:r w:rsidRPr="00457FC8">
              <w:rPr>
                <w:sz w:val="22"/>
                <w:szCs w:val="22"/>
              </w:rPr>
              <w:t xml:space="preserve"> ELBA</w:t>
            </w:r>
          </w:p>
        </w:tc>
        <w:tc>
          <w:tcPr>
            <w:tcW w:w="3544" w:type="dxa"/>
          </w:tcPr>
          <w:p w:rsidR="00267F0C" w:rsidRPr="00012472" w:rsidRDefault="00012472" w:rsidP="009A5E06">
            <w:pPr>
              <w:rPr>
                <w:sz w:val="22"/>
                <w:szCs w:val="22"/>
              </w:rPr>
            </w:pPr>
            <w:r w:rsidRPr="00012472">
              <w:rPr>
                <w:sz w:val="22"/>
                <w:szCs w:val="22"/>
              </w:rPr>
              <w:t xml:space="preserve">STICHTING VUMC, </w:t>
            </w:r>
          </w:p>
          <w:p w:rsidR="00012472" w:rsidRPr="00F27444" w:rsidRDefault="00012472" w:rsidP="009A5E06">
            <w:pPr>
              <w:rPr>
                <w:sz w:val="22"/>
                <w:szCs w:val="22"/>
              </w:rPr>
            </w:pPr>
            <w:r w:rsidRPr="00012472">
              <w:rPr>
                <w:sz w:val="22"/>
                <w:szCs w:val="22"/>
              </w:rPr>
              <w:t>Amsterdam, Netherlands;</w:t>
            </w:r>
          </w:p>
        </w:tc>
      </w:tr>
      <w:tr w:rsidR="005A4096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5A4096" w:rsidRPr="00F27444" w:rsidRDefault="005A4096" w:rsidP="009A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5A4096" w:rsidRDefault="005A4096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B21DE6">
              <w:rPr>
                <w:sz w:val="22"/>
                <w:szCs w:val="22"/>
              </w:rPr>
              <w:t xml:space="preserve"> Programme,</w:t>
            </w:r>
          </w:p>
          <w:p w:rsidR="00B21DE6" w:rsidRPr="00F27444" w:rsidRDefault="00B21DE6" w:rsidP="009A5E06">
            <w:pPr>
              <w:rPr>
                <w:sz w:val="22"/>
                <w:szCs w:val="22"/>
              </w:rPr>
            </w:pPr>
            <w:r w:rsidRPr="00F27444">
              <w:t xml:space="preserve">Key Action 2 – </w:t>
            </w:r>
            <w:r w:rsidRPr="009A5889">
              <w:t>Strategic Partnerships</w:t>
            </w:r>
          </w:p>
        </w:tc>
        <w:tc>
          <w:tcPr>
            <w:tcW w:w="2268" w:type="dxa"/>
          </w:tcPr>
          <w:p w:rsidR="005A4096" w:rsidRPr="00F27444" w:rsidRDefault="00414ECD" w:rsidP="009A5E06">
            <w:pPr>
              <w:rPr>
                <w:sz w:val="22"/>
                <w:szCs w:val="22"/>
              </w:rPr>
            </w:pPr>
            <w:r w:rsidRPr="00414ECD">
              <w:rPr>
                <w:sz w:val="22"/>
                <w:szCs w:val="22"/>
              </w:rPr>
              <w:t>2017-2-BG01-KA205-036419</w:t>
            </w:r>
          </w:p>
        </w:tc>
        <w:tc>
          <w:tcPr>
            <w:tcW w:w="4536" w:type="dxa"/>
          </w:tcPr>
          <w:p w:rsidR="00853538" w:rsidRPr="00853538" w:rsidRDefault="00853538" w:rsidP="00853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38">
              <w:rPr>
                <w:sz w:val="22"/>
                <w:szCs w:val="22"/>
              </w:rPr>
              <w:t>Leisure time as a positivist youth</w:t>
            </w:r>
          </w:p>
          <w:p w:rsidR="005A4096" w:rsidRPr="00F27444" w:rsidRDefault="00853538" w:rsidP="00853538">
            <w:pPr>
              <w:rPr>
                <w:sz w:val="22"/>
                <w:szCs w:val="22"/>
              </w:rPr>
            </w:pPr>
            <w:r w:rsidRPr="00853538">
              <w:rPr>
                <w:sz w:val="22"/>
                <w:szCs w:val="22"/>
              </w:rPr>
              <w:t>peer pedagogy</w:t>
            </w:r>
          </w:p>
        </w:tc>
        <w:tc>
          <w:tcPr>
            <w:tcW w:w="3544" w:type="dxa"/>
          </w:tcPr>
          <w:p w:rsidR="005A4096" w:rsidRPr="00F27444" w:rsidRDefault="005A4096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AC6BBA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AC6BBA" w:rsidRPr="00F27444" w:rsidRDefault="009D5A6E" w:rsidP="0060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AC6BBA" w:rsidRDefault="00A43ADC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  <w:r w:rsidR="000646B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646B1" w:rsidRDefault="000646B1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444">
              <w:rPr>
                <w:rFonts w:ascii="Times New Roman" w:eastAsia="Times New Roman" w:hAnsi="Times New Roman"/>
              </w:rPr>
              <w:t>Key Action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3 - </w:t>
            </w:r>
            <w:r w:rsidRPr="000646B1">
              <w:rPr>
                <w:rFonts w:ascii="Times New Roman" w:eastAsia="Times New Roman" w:hAnsi="Times New Roman"/>
                <w:sz w:val="24"/>
                <w:szCs w:val="24"/>
              </w:rPr>
              <w:t>Support for Policy Reform</w:t>
            </w:r>
            <w:r w:rsidR="005F454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4542" w:rsidRPr="009D5A6E" w:rsidRDefault="00023CAA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Action - </w:t>
            </w:r>
            <w:r w:rsidRPr="00023CAA">
              <w:rPr>
                <w:rFonts w:ascii="Times New Roman" w:eastAsia="Times New Roman" w:hAnsi="Times New Roman"/>
                <w:sz w:val="24"/>
                <w:szCs w:val="24"/>
              </w:rPr>
              <w:t>Social inclusion through education, training and youth</w:t>
            </w:r>
          </w:p>
        </w:tc>
        <w:tc>
          <w:tcPr>
            <w:tcW w:w="2268" w:type="dxa"/>
          </w:tcPr>
          <w:p w:rsidR="00AC6BBA" w:rsidRPr="00504F8C" w:rsidRDefault="00504F8C" w:rsidP="001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№5921177-ЕРР-</w:t>
            </w:r>
            <w:r>
              <w:rPr>
                <w:sz w:val="22"/>
                <w:szCs w:val="22"/>
              </w:rPr>
              <w:t>1-2017-1-BGEPPKA</w:t>
            </w:r>
            <w:r>
              <w:rPr>
                <w:sz w:val="22"/>
                <w:szCs w:val="22"/>
                <w:lang w:val="bg-BG"/>
              </w:rPr>
              <w:t>З-</w:t>
            </w:r>
            <w:r>
              <w:rPr>
                <w:sz w:val="22"/>
                <w:szCs w:val="22"/>
              </w:rPr>
              <w:t>IPI-SOC-IN</w:t>
            </w:r>
          </w:p>
        </w:tc>
        <w:tc>
          <w:tcPr>
            <w:tcW w:w="4536" w:type="dxa"/>
          </w:tcPr>
          <w:p w:rsidR="00AC6BBA" w:rsidRDefault="000646B1" w:rsidP="00F17C5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646B1">
              <w:rPr>
                <w:rFonts w:ascii="Times New Roman" w:eastAsia="Times New Roman" w:hAnsi="Times New Roman"/>
              </w:rPr>
              <w:t xml:space="preserve">Adaptive Personalized System for Creating Expression Tools in Social Inclusion of Learners with Verbal Communication Disabilities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="00AC6BBA">
              <w:rPr>
                <w:rFonts w:ascii="Times New Roman" w:eastAsia="Times New Roman" w:hAnsi="Times New Roman"/>
              </w:rPr>
              <w:t>TESI</w:t>
            </w:r>
          </w:p>
        </w:tc>
        <w:tc>
          <w:tcPr>
            <w:tcW w:w="3544" w:type="dxa"/>
          </w:tcPr>
          <w:p w:rsidR="00AC6BBA" w:rsidRPr="00F27444" w:rsidRDefault="00DD659A" w:rsidP="006027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AC6BBA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AC6BBA" w:rsidRPr="00F27444" w:rsidRDefault="009D5A6E" w:rsidP="0060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AC6BBA" w:rsidRDefault="00A43ADC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  <w:r w:rsidR="00231E1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1E16" w:rsidRPr="009D5A6E" w:rsidRDefault="00231E16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E16">
              <w:rPr>
                <w:rFonts w:ascii="Times New Roman" w:eastAsia="Times New Roman" w:hAnsi="Times New Roman"/>
                <w:sz w:val="24"/>
                <w:szCs w:val="24"/>
              </w:rPr>
              <w:t>KA2 - Cooperation for Innovation and the Exchange of Good Practices, Collaborative Partnership in Sport 2017</w:t>
            </w:r>
          </w:p>
        </w:tc>
        <w:tc>
          <w:tcPr>
            <w:tcW w:w="2268" w:type="dxa"/>
          </w:tcPr>
          <w:p w:rsidR="00AC6BBA" w:rsidRPr="00504F8C" w:rsidRDefault="00504F8C" w:rsidP="001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№590416-ЕРР-1-2017-1-</w:t>
            </w:r>
            <w:r>
              <w:rPr>
                <w:sz w:val="22"/>
                <w:szCs w:val="22"/>
              </w:rPr>
              <w:t>BG-S-PO-SCP2017</w:t>
            </w:r>
          </w:p>
        </w:tc>
        <w:tc>
          <w:tcPr>
            <w:tcW w:w="4536" w:type="dxa"/>
          </w:tcPr>
          <w:p w:rsidR="00AC6BBA" w:rsidRDefault="00AC6BBA" w:rsidP="00F17C5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Sports </w:t>
            </w:r>
            <w:r w:rsidR="00231E16">
              <w:rPr>
                <w:rFonts w:ascii="Times New Roman" w:eastAsia="Times New Roman" w:hAnsi="Times New Roman"/>
              </w:rPr>
              <w:t xml:space="preserve">Training </w:t>
            </w:r>
            <w:r>
              <w:rPr>
                <w:rFonts w:ascii="Times New Roman" w:eastAsia="Times New Roman" w:hAnsi="Times New Roman"/>
              </w:rPr>
              <w:t>for All</w:t>
            </w:r>
          </w:p>
        </w:tc>
        <w:tc>
          <w:tcPr>
            <w:tcW w:w="3544" w:type="dxa"/>
          </w:tcPr>
          <w:p w:rsidR="00AC6BBA" w:rsidRPr="00F27444" w:rsidRDefault="00DD659A" w:rsidP="006027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</w:tcPr>
          <w:p w:rsidR="00E17268" w:rsidRPr="00414ECD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2017-1-BG01-KA103-035479</w:t>
            </w:r>
          </w:p>
        </w:tc>
        <w:tc>
          <w:tcPr>
            <w:tcW w:w="4536" w:type="dxa"/>
          </w:tcPr>
          <w:p w:rsidR="00E17268" w:rsidRPr="00853538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835" w:type="dxa"/>
          </w:tcPr>
          <w:p w:rsidR="00E17268" w:rsidRPr="009D5A6E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</w:p>
        </w:tc>
        <w:tc>
          <w:tcPr>
            <w:tcW w:w="2268" w:type="dxa"/>
          </w:tcPr>
          <w:p w:rsidR="00A576B9" w:rsidRPr="001D3818" w:rsidRDefault="00A576B9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586109-EPP-1-2017-1-RO-EPPKA2-CBHESP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A2541">
              <w:rPr>
                <w:rFonts w:ascii="Times New Roman" w:eastAsia="Times New Roman" w:hAnsi="Times New Roman"/>
              </w:rPr>
              <w:t>Implementation of Education Qaulity Assurance System via Cooperation of University-Business-Government in HEI - EDUQAS</w:t>
            </w:r>
          </w:p>
        </w:tc>
        <w:tc>
          <w:tcPr>
            <w:tcW w:w="3544" w:type="dxa"/>
          </w:tcPr>
          <w:p w:rsidR="00E17268" w:rsidRPr="00C014D5" w:rsidRDefault="00E17268" w:rsidP="00E17268">
            <w:pPr>
              <w:rPr>
                <w:sz w:val="22"/>
                <w:szCs w:val="22"/>
              </w:rPr>
            </w:pPr>
            <w:r w:rsidRPr="00C014D5">
              <w:rPr>
                <w:sz w:val="22"/>
                <w:szCs w:val="22"/>
              </w:rPr>
              <w:t xml:space="preserve">University of Craiova, </w:t>
            </w:r>
          </w:p>
          <w:p w:rsidR="00E17268" w:rsidRPr="00F27444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14D5">
              <w:rPr>
                <w:sz w:val="22"/>
                <w:szCs w:val="22"/>
              </w:rPr>
              <w:t>Craiova, Romania;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272A0B" w:rsidRDefault="00E17268" w:rsidP="00E1726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Erasmus+ Programme to Slovak Academic Association for International Cooperation (SAAIC)</w:t>
            </w:r>
          </w:p>
        </w:tc>
        <w:tc>
          <w:tcPr>
            <w:tcW w:w="2268" w:type="dxa"/>
          </w:tcPr>
          <w:p w:rsidR="00E17268" w:rsidRPr="001D3818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  <w:lang w:val="bg-BG"/>
              </w:rPr>
              <w:t>2017-1-</w:t>
            </w:r>
            <w:r w:rsidRPr="00C1743A">
              <w:rPr>
                <w:sz w:val="22"/>
                <w:szCs w:val="22"/>
              </w:rPr>
              <w:t>SK01-KA203-035402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2D7D11">
              <w:rPr>
                <w:rFonts w:ascii="Times New Roman" w:eastAsia="Times New Roman" w:hAnsi="Times New Roman"/>
              </w:rPr>
              <w:t>Focusing Education on Composability, Comprehensibility and Correctness of Working Software</w:t>
            </w:r>
          </w:p>
        </w:tc>
        <w:tc>
          <w:tcPr>
            <w:tcW w:w="3544" w:type="dxa"/>
          </w:tcPr>
          <w:p w:rsidR="00E17268" w:rsidRPr="000B096D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B096D">
              <w:rPr>
                <w:rFonts w:eastAsia="Calibri"/>
                <w:color w:val="000000"/>
                <w:sz w:val="22"/>
                <w:szCs w:val="22"/>
              </w:rPr>
              <w:t xml:space="preserve">Technical University of </w:t>
            </w:r>
            <w:proofErr w:type="spellStart"/>
            <w:r w:rsidRPr="000B096D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B096D">
              <w:rPr>
                <w:rFonts w:eastAsia="Calibri"/>
                <w:color w:val="000000"/>
                <w:sz w:val="22"/>
                <w:szCs w:val="22"/>
              </w:rPr>
              <w:t>,</w:t>
            </w:r>
          </w:p>
          <w:p w:rsidR="00E17268" w:rsidRPr="00F27444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0B096D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B096D">
              <w:rPr>
                <w:rFonts w:eastAsia="Calibri"/>
                <w:color w:val="000000"/>
                <w:sz w:val="22"/>
                <w:szCs w:val="22"/>
              </w:rPr>
              <w:t>, Slovakia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ERASMUS+ Programme, Key Action 2 – </w:t>
            </w:r>
            <w:r w:rsidRPr="009A5889">
              <w:rPr>
                <w:rFonts w:ascii="Times New Roman" w:eastAsia="Times New Roman" w:hAnsi="Times New Roman"/>
              </w:rPr>
              <w:t>Strategic Partnerships for vocational education and training</w:t>
            </w:r>
          </w:p>
        </w:tc>
        <w:tc>
          <w:tcPr>
            <w:tcW w:w="2268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1D3818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-1-</w:t>
            </w:r>
            <w:r w:rsidRPr="001D3818">
              <w:rPr>
                <w:sz w:val="22"/>
                <w:szCs w:val="22"/>
              </w:rPr>
              <w:t>IE01</w:t>
            </w:r>
            <w:r w:rsidRPr="001D381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D3818">
              <w:rPr>
                <w:sz w:val="22"/>
                <w:szCs w:val="22"/>
              </w:rPr>
              <w:t>KA202</w:t>
            </w:r>
            <w:r w:rsidRPr="001D381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D3818">
              <w:rPr>
                <w:sz w:val="22"/>
                <w:szCs w:val="22"/>
              </w:rPr>
              <w:t>025710</w:t>
            </w:r>
          </w:p>
        </w:tc>
        <w:tc>
          <w:tcPr>
            <w:tcW w:w="4536" w:type="dxa"/>
          </w:tcPr>
          <w:p w:rsidR="00E17268" w:rsidRPr="00F27444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VOCAL in NEED</w:t>
            </w:r>
          </w:p>
        </w:tc>
        <w:tc>
          <w:tcPr>
            <w:tcW w:w="3544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Programme,</w:t>
            </w:r>
          </w:p>
        </w:tc>
        <w:tc>
          <w:tcPr>
            <w:tcW w:w="2268" w:type="dxa"/>
          </w:tcPr>
          <w:p w:rsidR="00E17268" w:rsidRPr="001D3818" w:rsidRDefault="00E17268" w:rsidP="00E17268">
            <w:pPr>
              <w:rPr>
                <w:sz w:val="22"/>
                <w:szCs w:val="22"/>
              </w:rPr>
            </w:pPr>
            <w:r w:rsidRPr="00D75FFD">
              <w:rPr>
                <w:sz w:val="22"/>
                <w:szCs w:val="22"/>
              </w:rPr>
              <w:t>2017-1ES01-KA203-038491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537F">
              <w:rPr>
                <w:rFonts w:ascii="Times New Roman" w:eastAsia="Times New Roman" w:hAnsi="Times New Roman"/>
              </w:rPr>
              <w:t>RULES_MATH: New Rules for assessing Mathematical Competencies</w:t>
            </w:r>
          </w:p>
        </w:tc>
        <w:tc>
          <w:tcPr>
            <w:tcW w:w="3544" w:type="dxa"/>
          </w:tcPr>
          <w:p w:rsidR="00E17268" w:rsidRPr="009F7225" w:rsidRDefault="00E17268" w:rsidP="00E17268">
            <w:pPr>
              <w:pStyle w:val="Default"/>
            </w:pPr>
            <w:r>
              <w:t>University of Salamanca, Spain;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57AD4">
              <w:rPr>
                <w:rFonts w:ascii="Times New Roman" w:eastAsia="Times New Roman" w:hAnsi="Times New Roman"/>
              </w:rPr>
              <w:t>The Artistic Programme of  Municipal Foundation Plovdiv 2019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</w:rPr>
              <w:t>OP-040/14.11.2017</w:t>
            </w:r>
          </w:p>
        </w:tc>
        <w:tc>
          <w:tcPr>
            <w:tcW w:w="4536" w:type="dxa"/>
          </w:tcPr>
          <w:p w:rsidR="00E17268" w:rsidRPr="0007537F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57AD4">
              <w:rPr>
                <w:rFonts w:ascii="Times New Roman" w:eastAsia="Times New Roman" w:hAnsi="Times New Roman"/>
              </w:rPr>
              <w:t xml:space="preserve">The Neighborhoods of Plovdiv TOGETHER </w:t>
            </w:r>
            <w:r>
              <w:rPr>
                <w:rFonts w:ascii="Times New Roman" w:eastAsia="Times New Roman" w:hAnsi="Times New Roman"/>
              </w:rPr>
              <w:t>-</w:t>
            </w:r>
            <w:r w:rsidRPr="00B57AD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 Virtual P</w:t>
            </w:r>
            <w:r w:rsidRPr="00B57AD4">
              <w:rPr>
                <w:rFonts w:ascii="Times New Roman" w:eastAsia="Times New Roman" w:hAnsi="Times New Roman"/>
              </w:rPr>
              <w:t>ortfolio</w:t>
            </w:r>
          </w:p>
        </w:tc>
        <w:tc>
          <w:tcPr>
            <w:tcW w:w="3544" w:type="dxa"/>
          </w:tcPr>
          <w:p w:rsidR="00E17268" w:rsidRDefault="00E17268" w:rsidP="00E17268">
            <w:pPr>
              <w:pStyle w:val="Default"/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B57AD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6E2A00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6E2A00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6E2A00">
              <w:rPr>
                <w:rFonts w:ascii="Times New Roman" w:eastAsia="Times New Roman" w:hAnsi="Times New Roman"/>
              </w:rPr>
              <w:t xml:space="preserve"> INTERREG V-A Greece-Bulgaria 2014-2020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</w:rPr>
              <w:t>B2.9c04/18.10.2017</w:t>
            </w:r>
          </w:p>
        </w:tc>
        <w:tc>
          <w:tcPr>
            <w:tcW w:w="4536" w:type="dxa"/>
          </w:tcPr>
          <w:p w:rsidR="00E17268" w:rsidRPr="006E2A00" w:rsidRDefault="00E17268" w:rsidP="00E17268">
            <w:pPr>
              <w:jc w:val="both"/>
              <w:rPr>
                <w:sz w:val="22"/>
                <w:szCs w:val="22"/>
              </w:rPr>
            </w:pPr>
            <w:proofErr w:type="spellStart"/>
            <w:r w:rsidRPr="006B7967">
              <w:rPr>
                <w:sz w:val="22"/>
                <w:szCs w:val="22"/>
              </w:rPr>
              <w:t>ReinFORCE</w:t>
            </w:r>
            <w:proofErr w:type="spellEnd"/>
            <w:r w:rsidRPr="006B7967">
              <w:rPr>
                <w:sz w:val="22"/>
                <w:szCs w:val="22"/>
              </w:rPr>
              <w:t xml:space="preserve"> SOCIAL Entrepreneurial Spirit through Setting up Innovative Support Structure</w:t>
            </w:r>
            <w:r>
              <w:rPr>
                <w:sz w:val="22"/>
                <w:szCs w:val="22"/>
              </w:rPr>
              <w:t>s in the cross-border Territory -  SOCIAL FORCES</w:t>
            </w:r>
          </w:p>
        </w:tc>
        <w:tc>
          <w:tcPr>
            <w:tcW w:w="3544" w:type="dxa"/>
          </w:tcPr>
          <w:p w:rsidR="00E17268" w:rsidRDefault="00E17268" w:rsidP="00E1726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6AC3">
              <w:rPr>
                <w:color w:val="000000"/>
                <w:sz w:val="22"/>
                <w:szCs w:val="22"/>
              </w:rPr>
              <w:t>Regional Dev</w:t>
            </w:r>
            <w:r>
              <w:rPr>
                <w:color w:val="000000"/>
                <w:sz w:val="22"/>
                <w:szCs w:val="22"/>
              </w:rPr>
              <w:t xml:space="preserve">elopment Agency of </w:t>
            </w:r>
            <w:proofErr w:type="spellStart"/>
            <w:r>
              <w:rPr>
                <w:color w:val="000000"/>
                <w:sz w:val="22"/>
                <w:szCs w:val="22"/>
              </w:rPr>
              <w:t>Rodopi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S.A.;</w:t>
            </w:r>
          </w:p>
          <w:p w:rsidR="00E17268" w:rsidRPr="00836AC3" w:rsidRDefault="00E17268" w:rsidP="00E1726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36AC3">
              <w:rPr>
                <w:color w:val="000000"/>
                <w:sz w:val="22"/>
                <w:szCs w:val="22"/>
              </w:rPr>
              <w:t>Komotini</w:t>
            </w:r>
            <w:proofErr w:type="spellEnd"/>
            <w:r w:rsidRPr="00836AC3">
              <w:rPr>
                <w:color w:val="000000"/>
                <w:sz w:val="22"/>
                <w:szCs w:val="22"/>
              </w:rPr>
              <w:t>, Greece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7268" w:rsidRPr="00F27444" w:rsidRDefault="00E17268" w:rsidP="00E17268">
            <w:pPr>
              <w:pStyle w:val="Default"/>
              <w:rPr>
                <w:sz w:val="22"/>
                <w:szCs w:val="22"/>
              </w:rPr>
            </w:pP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6E2A00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6E2A00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6E2A00">
              <w:rPr>
                <w:rFonts w:ascii="Times New Roman" w:eastAsia="Times New Roman" w:hAnsi="Times New Roman"/>
              </w:rPr>
              <w:t xml:space="preserve"> INTERREG V-A Greece-Bulgaria 2014-2020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B2.6c04/01.11.2017</w:t>
            </w:r>
          </w:p>
        </w:tc>
        <w:tc>
          <w:tcPr>
            <w:tcW w:w="4536" w:type="dxa"/>
          </w:tcPr>
          <w:p w:rsidR="00E17268" w:rsidRPr="00B57AD4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B6F5D">
              <w:rPr>
                <w:rFonts w:ascii="Times New Roman" w:eastAsia="Times New Roman" w:hAnsi="Times New Roman"/>
              </w:rPr>
              <w:t xml:space="preserve">Developing Identity ON </w:t>
            </w:r>
            <w:proofErr w:type="spellStart"/>
            <w:r w:rsidRPr="00EB6F5D">
              <w:rPr>
                <w:rFonts w:ascii="Times New Roman" w:eastAsia="Times New Roman" w:hAnsi="Times New Roman"/>
              </w:rPr>
              <w:t>Yeld</w:t>
            </w:r>
            <w:proofErr w:type="spellEnd"/>
            <w:r w:rsidRPr="00EB6F5D">
              <w:rPr>
                <w:rFonts w:ascii="Times New Roman" w:eastAsia="Times New Roman" w:hAnsi="Times New Roman"/>
              </w:rPr>
              <w:t>, Soil and Site - DIONYSOS</w:t>
            </w:r>
          </w:p>
        </w:tc>
        <w:tc>
          <w:tcPr>
            <w:tcW w:w="3544" w:type="dxa"/>
          </w:tcPr>
          <w:p w:rsidR="00E17268" w:rsidRPr="009A52F8" w:rsidRDefault="00E17268" w:rsidP="00E17268">
            <w:pPr>
              <w:jc w:val="both"/>
              <w:rPr>
                <w:color w:val="000000"/>
                <w:sz w:val="22"/>
                <w:szCs w:val="22"/>
              </w:rPr>
            </w:pPr>
            <w:r w:rsidRPr="009A52F8">
              <w:rPr>
                <w:color w:val="000000"/>
                <w:sz w:val="22"/>
                <w:szCs w:val="22"/>
              </w:rPr>
              <w:t>Agricultural University of Athens</w:t>
            </w:r>
          </w:p>
          <w:p w:rsidR="00E17268" w:rsidRPr="00F27444" w:rsidRDefault="00E17268" w:rsidP="00E17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Athens, Greece;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1A0EB2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7145">
              <w:rPr>
                <w:rFonts w:ascii="Times New Roman" w:eastAsia="Times New Roman" w:hAnsi="Times New Roman"/>
              </w:rPr>
              <w:t>Jean Monnet action - Jean Monnet Chair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587704-EPP-1-2017-1-DE-EPPJMO-NETWORK</w:t>
            </w:r>
          </w:p>
        </w:tc>
        <w:tc>
          <w:tcPr>
            <w:tcW w:w="4536" w:type="dxa"/>
          </w:tcPr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 xml:space="preserve">Enhancing </w:t>
            </w:r>
            <w:proofErr w:type="spellStart"/>
            <w:r w:rsidRPr="004250CB">
              <w:rPr>
                <w:sz w:val="22"/>
                <w:szCs w:val="22"/>
              </w:rPr>
              <w:t>VIsibility</w:t>
            </w:r>
            <w:proofErr w:type="spellEnd"/>
            <w:r w:rsidRPr="004250CB">
              <w:rPr>
                <w:sz w:val="22"/>
                <w:szCs w:val="22"/>
              </w:rPr>
              <w:t xml:space="preserve"> of the Academic </w:t>
            </w:r>
            <w:proofErr w:type="spellStart"/>
            <w:r w:rsidRPr="004250CB">
              <w:rPr>
                <w:sz w:val="22"/>
                <w:szCs w:val="22"/>
              </w:rPr>
              <w:t>DialogUe</w:t>
            </w:r>
            <w:proofErr w:type="spellEnd"/>
            <w:r w:rsidRPr="004250CB">
              <w:rPr>
                <w:sz w:val="22"/>
                <w:szCs w:val="22"/>
              </w:rPr>
              <w:t xml:space="preserve"> on EU-Turkey </w:t>
            </w:r>
            <w:proofErr w:type="spellStart"/>
            <w:r w:rsidRPr="004250CB">
              <w:rPr>
                <w:sz w:val="22"/>
                <w:szCs w:val="22"/>
              </w:rPr>
              <w:t>CooperaTion</w:t>
            </w:r>
            <w:proofErr w:type="spellEnd"/>
            <w:r w:rsidRPr="004250CB">
              <w:rPr>
                <w:sz w:val="22"/>
                <w:szCs w:val="22"/>
              </w:rPr>
              <w:t>-VIADUCT</w:t>
            </w:r>
          </w:p>
          <w:p w:rsidR="00E17268" w:rsidRPr="001A0EB2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3544" w:type="dxa"/>
          </w:tcPr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Univer</w:t>
            </w:r>
            <w:r>
              <w:rPr>
                <w:sz w:val="22"/>
                <w:szCs w:val="22"/>
              </w:rPr>
              <w:t>s</w:t>
            </w:r>
            <w:r w:rsidRPr="004250CB">
              <w:rPr>
                <w:sz w:val="22"/>
                <w:szCs w:val="22"/>
              </w:rPr>
              <w:t>ity of Cologne;</w:t>
            </w:r>
          </w:p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Cologne, Germany</w:t>
            </w:r>
          </w:p>
        </w:tc>
      </w:tr>
    </w:tbl>
    <w:p w:rsidR="00AA0257" w:rsidRPr="00F27444" w:rsidRDefault="00AA0257" w:rsidP="00D02974">
      <w:pPr>
        <w:rPr>
          <w:sz w:val="22"/>
          <w:szCs w:val="22"/>
        </w:rPr>
      </w:pPr>
    </w:p>
    <w:sectPr w:rsidR="00AA0257" w:rsidRPr="00F27444" w:rsidSect="00384409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E73"/>
    <w:multiLevelType w:val="hybridMultilevel"/>
    <w:tmpl w:val="43568E54"/>
    <w:lvl w:ilvl="0" w:tplc="BE3817E8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E24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3CB"/>
    <w:multiLevelType w:val="hybridMultilevel"/>
    <w:tmpl w:val="4BC40F3A"/>
    <w:lvl w:ilvl="0" w:tplc="4192DA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11829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AEF"/>
    <w:multiLevelType w:val="hybridMultilevel"/>
    <w:tmpl w:val="0F8A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7CEA"/>
    <w:multiLevelType w:val="hybridMultilevel"/>
    <w:tmpl w:val="E4CC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1"/>
    <w:rsid w:val="000038DB"/>
    <w:rsid w:val="00007D88"/>
    <w:rsid w:val="00012472"/>
    <w:rsid w:val="00014019"/>
    <w:rsid w:val="00014E5A"/>
    <w:rsid w:val="00023CAA"/>
    <w:rsid w:val="0003764A"/>
    <w:rsid w:val="00042046"/>
    <w:rsid w:val="000432AE"/>
    <w:rsid w:val="000439F3"/>
    <w:rsid w:val="00045994"/>
    <w:rsid w:val="00047092"/>
    <w:rsid w:val="00047E3D"/>
    <w:rsid w:val="000611C9"/>
    <w:rsid w:val="000646B1"/>
    <w:rsid w:val="0007537F"/>
    <w:rsid w:val="000920BD"/>
    <w:rsid w:val="00097E8C"/>
    <w:rsid w:val="000B096D"/>
    <w:rsid w:val="000B318B"/>
    <w:rsid w:val="000B4B1D"/>
    <w:rsid w:val="000C0C8C"/>
    <w:rsid w:val="000D1E2C"/>
    <w:rsid w:val="000D7683"/>
    <w:rsid w:val="000E2F98"/>
    <w:rsid w:val="00101F82"/>
    <w:rsid w:val="00103022"/>
    <w:rsid w:val="00113471"/>
    <w:rsid w:val="00114D7A"/>
    <w:rsid w:val="001158FE"/>
    <w:rsid w:val="00124BC7"/>
    <w:rsid w:val="00130BC1"/>
    <w:rsid w:val="00130FA1"/>
    <w:rsid w:val="001345B5"/>
    <w:rsid w:val="00143CEF"/>
    <w:rsid w:val="00145B76"/>
    <w:rsid w:val="00145F79"/>
    <w:rsid w:val="0015396B"/>
    <w:rsid w:val="00155F5E"/>
    <w:rsid w:val="00156DC4"/>
    <w:rsid w:val="0016026D"/>
    <w:rsid w:val="001671BE"/>
    <w:rsid w:val="00172075"/>
    <w:rsid w:val="00176F20"/>
    <w:rsid w:val="00182E52"/>
    <w:rsid w:val="001A0EB2"/>
    <w:rsid w:val="001A2541"/>
    <w:rsid w:val="001A5B99"/>
    <w:rsid w:val="001B250B"/>
    <w:rsid w:val="001B7F9B"/>
    <w:rsid w:val="001C41EE"/>
    <w:rsid w:val="001D3818"/>
    <w:rsid w:val="001D7065"/>
    <w:rsid w:val="001E2520"/>
    <w:rsid w:val="001F449B"/>
    <w:rsid w:val="00201E9A"/>
    <w:rsid w:val="00206EA6"/>
    <w:rsid w:val="0020759A"/>
    <w:rsid w:val="0021230C"/>
    <w:rsid w:val="00213CEB"/>
    <w:rsid w:val="00220123"/>
    <w:rsid w:val="00231008"/>
    <w:rsid w:val="00231E16"/>
    <w:rsid w:val="00235237"/>
    <w:rsid w:val="002420D2"/>
    <w:rsid w:val="0024316A"/>
    <w:rsid w:val="00246C87"/>
    <w:rsid w:val="00246D23"/>
    <w:rsid w:val="00247F34"/>
    <w:rsid w:val="00267F0C"/>
    <w:rsid w:val="002729A3"/>
    <w:rsid w:val="00272A0B"/>
    <w:rsid w:val="00273025"/>
    <w:rsid w:val="00275451"/>
    <w:rsid w:val="002936FE"/>
    <w:rsid w:val="00297E00"/>
    <w:rsid w:val="002A12AB"/>
    <w:rsid w:val="002A3A3C"/>
    <w:rsid w:val="002A5FD3"/>
    <w:rsid w:val="002B17A9"/>
    <w:rsid w:val="002B28D5"/>
    <w:rsid w:val="002C6213"/>
    <w:rsid w:val="002C6503"/>
    <w:rsid w:val="002D7D11"/>
    <w:rsid w:val="002E103E"/>
    <w:rsid w:val="002F026D"/>
    <w:rsid w:val="002F2E2D"/>
    <w:rsid w:val="002F3A42"/>
    <w:rsid w:val="003005B5"/>
    <w:rsid w:val="00301F49"/>
    <w:rsid w:val="003024D6"/>
    <w:rsid w:val="003045BC"/>
    <w:rsid w:val="00306E5F"/>
    <w:rsid w:val="003131A2"/>
    <w:rsid w:val="00322B7E"/>
    <w:rsid w:val="00325875"/>
    <w:rsid w:val="00326B7E"/>
    <w:rsid w:val="0032730D"/>
    <w:rsid w:val="00330590"/>
    <w:rsid w:val="003447D1"/>
    <w:rsid w:val="00345238"/>
    <w:rsid w:val="00350498"/>
    <w:rsid w:val="00351225"/>
    <w:rsid w:val="0035212D"/>
    <w:rsid w:val="00352788"/>
    <w:rsid w:val="00355CDE"/>
    <w:rsid w:val="00361E90"/>
    <w:rsid w:val="003637A1"/>
    <w:rsid w:val="0036507F"/>
    <w:rsid w:val="00365917"/>
    <w:rsid w:val="00366CE7"/>
    <w:rsid w:val="00370C3F"/>
    <w:rsid w:val="00373E26"/>
    <w:rsid w:val="00373E52"/>
    <w:rsid w:val="0037738D"/>
    <w:rsid w:val="00384409"/>
    <w:rsid w:val="00387C95"/>
    <w:rsid w:val="0039300A"/>
    <w:rsid w:val="003A2BB1"/>
    <w:rsid w:val="003A361A"/>
    <w:rsid w:val="003A5A5B"/>
    <w:rsid w:val="003B629F"/>
    <w:rsid w:val="003C777F"/>
    <w:rsid w:val="003D1120"/>
    <w:rsid w:val="003D1591"/>
    <w:rsid w:val="003F64A7"/>
    <w:rsid w:val="003F7332"/>
    <w:rsid w:val="00402C93"/>
    <w:rsid w:val="004124A0"/>
    <w:rsid w:val="004149CB"/>
    <w:rsid w:val="00414ECD"/>
    <w:rsid w:val="00417CBE"/>
    <w:rsid w:val="004208A1"/>
    <w:rsid w:val="004227B3"/>
    <w:rsid w:val="00424B35"/>
    <w:rsid w:val="004250CB"/>
    <w:rsid w:val="00427166"/>
    <w:rsid w:val="00430317"/>
    <w:rsid w:val="00430E56"/>
    <w:rsid w:val="004327B5"/>
    <w:rsid w:val="00436D28"/>
    <w:rsid w:val="0044288D"/>
    <w:rsid w:val="00450806"/>
    <w:rsid w:val="00457FC8"/>
    <w:rsid w:val="00467353"/>
    <w:rsid w:val="00472A7D"/>
    <w:rsid w:val="00474076"/>
    <w:rsid w:val="0048048A"/>
    <w:rsid w:val="00485637"/>
    <w:rsid w:val="00491C8E"/>
    <w:rsid w:val="00495054"/>
    <w:rsid w:val="004A6365"/>
    <w:rsid w:val="004B4685"/>
    <w:rsid w:val="004B4D8C"/>
    <w:rsid w:val="004B73A1"/>
    <w:rsid w:val="004C5A7B"/>
    <w:rsid w:val="004D533A"/>
    <w:rsid w:val="004E565E"/>
    <w:rsid w:val="004E6283"/>
    <w:rsid w:val="004F3E2C"/>
    <w:rsid w:val="004F7969"/>
    <w:rsid w:val="0050149B"/>
    <w:rsid w:val="00504F8C"/>
    <w:rsid w:val="0052395D"/>
    <w:rsid w:val="00532C36"/>
    <w:rsid w:val="005330C4"/>
    <w:rsid w:val="005621BD"/>
    <w:rsid w:val="00567695"/>
    <w:rsid w:val="00567B00"/>
    <w:rsid w:val="00567B92"/>
    <w:rsid w:val="0057035F"/>
    <w:rsid w:val="00575FEB"/>
    <w:rsid w:val="00583A6F"/>
    <w:rsid w:val="0058553E"/>
    <w:rsid w:val="00590ADF"/>
    <w:rsid w:val="005954C7"/>
    <w:rsid w:val="00597145"/>
    <w:rsid w:val="005A2B06"/>
    <w:rsid w:val="005A4096"/>
    <w:rsid w:val="005B12DC"/>
    <w:rsid w:val="005C0F84"/>
    <w:rsid w:val="005C7656"/>
    <w:rsid w:val="005D665C"/>
    <w:rsid w:val="005E7FF0"/>
    <w:rsid w:val="005F1110"/>
    <w:rsid w:val="005F4542"/>
    <w:rsid w:val="00604942"/>
    <w:rsid w:val="0061221B"/>
    <w:rsid w:val="0061663D"/>
    <w:rsid w:val="00620259"/>
    <w:rsid w:val="00624589"/>
    <w:rsid w:val="00631826"/>
    <w:rsid w:val="006345F4"/>
    <w:rsid w:val="00636C39"/>
    <w:rsid w:val="00642958"/>
    <w:rsid w:val="00642A6F"/>
    <w:rsid w:val="006472A7"/>
    <w:rsid w:val="00661E96"/>
    <w:rsid w:val="00665372"/>
    <w:rsid w:val="0067195B"/>
    <w:rsid w:val="00674781"/>
    <w:rsid w:val="00676D43"/>
    <w:rsid w:val="00681DEA"/>
    <w:rsid w:val="00685A00"/>
    <w:rsid w:val="00687E0C"/>
    <w:rsid w:val="006A3387"/>
    <w:rsid w:val="006A4756"/>
    <w:rsid w:val="006A592D"/>
    <w:rsid w:val="006B3E73"/>
    <w:rsid w:val="006B3EF6"/>
    <w:rsid w:val="006B4F44"/>
    <w:rsid w:val="006B7967"/>
    <w:rsid w:val="006D5917"/>
    <w:rsid w:val="006D7664"/>
    <w:rsid w:val="006E2A00"/>
    <w:rsid w:val="006E3D60"/>
    <w:rsid w:val="006F2B50"/>
    <w:rsid w:val="006F744F"/>
    <w:rsid w:val="006F74FA"/>
    <w:rsid w:val="00700BD5"/>
    <w:rsid w:val="00724CEC"/>
    <w:rsid w:val="007357A4"/>
    <w:rsid w:val="0074167E"/>
    <w:rsid w:val="0074322B"/>
    <w:rsid w:val="00745B26"/>
    <w:rsid w:val="00756EA6"/>
    <w:rsid w:val="0075701D"/>
    <w:rsid w:val="0076513C"/>
    <w:rsid w:val="0076630F"/>
    <w:rsid w:val="007713CF"/>
    <w:rsid w:val="0077437B"/>
    <w:rsid w:val="007752E6"/>
    <w:rsid w:val="0078223B"/>
    <w:rsid w:val="00783C9F"/>
    <w:rsid w:val="00784E58"/>
    <w:rsid w:val="00786DB3"/>
    <w:rsid w:val="00791A33"/>
    <w:rsid w:val="007979AB"/>
    <w:rsid w:val="007A7517"/>
    <w:rsid w:val="007B3ECA"/>
    <w:rsid w:val="007B70BB"/>
    <w:rsid w:val="007D206D"/>
    <w:rsid w:val="007F400C"/>
    <w:rsid w:val="00803456"/>
    <w:rsid w:val="008079E8"/>
    <w:rsid w:val="00817316"/>
    <w:rsid w:val="00820E97"/>
    <w:rsid w:val="00823E60"/>
    <w:rsid w:val="00831627"/>
    <w:rsid w:val="00836AC3"/>
    <w:rsid w:val="008375F0"/>
    <w:rsid w:val="00837DE2"/>
    <w:rsid w:val="00850B74"/>
    <w:rsid w:val="00853538"/>
    <w:rsid w:val="00854250"/>
    <w:rsid w:val="008639EF"/>
    <w:rsid w:val="0087495C"/>
    <w:rsid w:val="0087648C"/>
    <w:rsid w:val="00886BFE"/>
    <w:rsid w:val="008906A3"/>
    <w:rsid w:val="00893608"/>
    <w:rsid w:val="00895C0E"/>
    <w:rsid w:val="008A61EB"/>
    <w:rsid w:val="008C3CDE"/>
    <w:rsid w:val="008C6BD9"/>
    <w:rsid w:val="008D3826"/>
    <w:rsid w:val="008D500B"/>
    <w:rsid w:val="008E245E"/>
    <w:rsid w:val="008E4F02"/>
    <w:rsid w:val="008F0233"/>
    <w:rsid w:val="008F1A22"/>
    <w:rsid w:val="008F55E0"/>
    <w:rsid w:val="00903980"/>
    <w:rsid w:val="00903F78"/>
    <w:rsid w:val="00904988"/>
    <w:rsid w:val="009072D2"/>
    <w:rsid w:val="00911BE6"/>
    <w:rsid w:val="00916A27"/>
    <w:rsid w:val="00933E34"/>
    <w:rsid w:val="00961490"/>
    <w:rsid w:val="00961585"/>
    <w:rsid w:val="009624A3"/>
    <w:rsid w:val="00962E24"/>
    <w:rsid w:val="00973127"/>
    <w:rsid w:val="00974288"/>
    <w:rsid w:val="00976360"/>
    <w:rsid w:val="009778A6"/>
    <w:rsid w:val="009841A6"/>
    <w:rsid w:val="009845C4"/>
    <w:rsid w:val="009864B9"/>
    <w:rsid w:val="00987E3F"/>
    <w:rsid w:val="00987E8D"/>
    <w:rsid w:val="00990471"/>
    <w:rsid w:val="009A2021"/>
    <w:rsid w:val="009A2732"/>
    <w:rsid w:val="009A52F8"/>
    <w:rsid w:val="009A55F0"/>
    <w:rsid w:val="009A5889"/>
    <w:rsid w:val="009B10FE"/>
    <w:rsid w:val="009B4939"/>
    <w:rsid w:val="009B4C17"/>
    <w:rsid w:val="009B68EC"/>
    <w:rsid w:val="009B786B"/>
    <w:rsid w:val="009C18B3"/>
    <w:rsid w:val="009C6118"/>
    <w:rsid w:val="009D5A6E"/>
    <w:rsid w:val="009D6474"/>
    <w:rsid w:val="009F0BC9"/>
    <w:rsid w:val="009F323F"/>
    <w:rsid w:val="009F36A2"/>
    <w:rsid w:val="009F47B5"/>
    <w:rsid w:val="009F7225"/>
    <w:rsid w:val="00A138D2"/>
    <w:rsid w:val="00A2017E"/>
    <w:rsid w:val="00A23CD6"/>
    <w:rsid w:val="00A26E04"/>
    <w:rsid w:val="00A32172"/>
    <w:rsid w:val="00A35507"/>
    <w:rsid w:val="00A4071B"/>
    <w:rsid w:val="00A43ADC"/>
    <w:rsid w:val="00A45BEE"/>
    <w:rsid w:val="00A47545"/>
    <w:rsid w:val="00A47B2B"/>
    <w:rsid w:val="00A54317"/>
    <w:rsid w:val="00A54F6A"/>
    <w:rsid w:val="00A55CD1"/>
    <w:rsid w:val="00A5681F"/>
    <w:rsid w:val="00A576B9"/>
    <w:rsid w:val="00A65422"/>
    <w:rsid w:val="00A65CF7"/>
    <w:rsid w:val="00A82640"/>
    <w:rsid w:val="00A8613A"/>
    <w:rsid w:val="00AA0257"/>
    <w:rsid w:val="00AA1D8C"/>
    <w:rsid w:val="00AA37AC"/>
    <w:rsid w:val="00AA42D4"/>
    <w:rsid w:val="00AA5844"/>
    <w:rsid w:val="00AC6BBA"/>
    <w:rsid w:val="00AD0431"/>
    <w:rsid w:val="00AD411A"/>
    <w:rsid w:val="00AD7473"/>
    <w:rsid w:val="00AE1027"/>
    <w:rsid w:val="00AE1AB4"/>
    <w:rsid w:val="00AE217C"/>
    <w:rsid w:val="00AE2B41"/>
    <w:rsid w:val="00AE39F0"/>
    <w:rsid w:val="00AE3B83"/>
    <w:rsid w:val="00AE3C12"/>
    <w:rsid w:val="00AE44DB"/>
    <w:rsid w:val="00AF4B45"/>
    <w:rsid w:val="00AF52F1"/>
    <w:rsid w:val="00AF6B0F"/>
    <w:rsid w:val="00B011C3"/>
    <w:rsid w:val="00B109AF"/>
    <w:rsid w:val="00B21DE6"/>
    <w:rsid w:val="00B23C42"/>
    <w:rsid w:val="00B24974"/>
    <w:rsid w:val="00B41561"/>
    <w:rsid w:val="00B54EFE"/>
    <w:rsid w:val="00B57AD4"/>
    <w:rsid w:val="00B675E0"/>
    <w:rsid w:val="00B71244"/>
    <w:rsid w:val="00B768F5"/>
    <w:rsid w:val="00B9271B"/>
    <w:rsid w:val="00B97AB4"/>
    <w:rsid w:val="00BA0FA9"/>
    <w:rsid w:val="00BA5AEF"/>
    <w:rsid w:val="00BB31D0"/>
    <w:rsid w:val="00BB7DEF"/>
    <w:rsid w:val="00BC1A95"/>
    <w:rsid w:val="00BD2D0A"/>
    <w:rsid w:val="00BD51CB"/>
    <w:rsid w:val="00BE4184"/>
    <w:rsid w:val="00BF6659"/>
    <w:rsid w:val="00C014D5"/>
    <w:rsid w:val="00C03CFC"/>
    <w:rsid w:val="00C05737"/>
    <w:rsid w:val="00C13EB1"/>
    <w:rsid w:val="00C1743A"/>
    <w:rsid w:val="00C20E57"/>
    <w:rsid w:val="00C40693"/>
    <w:rsid w:val="00C45BC2"/>
    <w:rsid w:val="00C50D4C"/>
    <w:rsid w:val="00C6587E"/>
    <w:rsid w:val="00C747A5"/>
    <w:rsid w:val="00C757AF"/>
    <w:rsid w:val="00C84BFE"/>
    <w:rsid w:val="00C85B91"/>
    <w:rsid w:val="00C93D03"/>
    <w:rsid w:val="00CB2A13"/>
    <w:rsid w:val="00CB4BA2"/>
    <w:rsid w:val="00CB5494"/>
    <w:rsid w:val="00CD7419"/>
    <w:rsid w:val="00CE00E0"/>
    <w:rsid w:val="00CF1102"/>
    <w:rsid w:val="00D02974"/>
    <w:rsid w:val="00D12C77"/>
    <w:rsid w:val="00D21483"/>
    <w:rsid w:val="00D277CD"/>
    <w:rsid w:val="00D33AB8"/>
    <w:rsid w:val="00D41090"/>
    <w:rsid w:val="00D4224D"/>
    <w:rsid w:val="00D47BDB"/>
    <w:rsid w:val="00D50734"/>
    <w:rsid w:val="00D53519"/>
    <w:rsid w:val="00D56A50"/>
    <w:rsid w:val="00D703E7"/>
    <w:rsid w:val="00D72CC6"/>
    <w:rsid w:val="00D73585"/>
    <w:rsid w:val="00D75201"/>
    <w:rsid w:val="00D75FFD"/>
    <w:rsid w:val="00D86DF6"/>
    <w:rsid w:val="00D9149F"/>
    <w:rsid w:val="00D93984"/>
    <w:rsid w:val="00DA0BD5"/>
    <w:rsid w:val="00DA6495"/>
    <w:rsid w:val="00DB0904"/>
    <w:rsid w:val="00DB0999"/>
    <w:rsid w:val="00DB425A"/>
    <w:rsid w:val="00DC185F"/>
    <w:rsid w:val="00DC504B"/>
    <w:rsid w:val="00DD659A"/>
    <w:rsid w:val="00DE1F20"/>
    <w:rsid w:val="00DE22CD"/>
    <w:rsid w:val="00DE2F84"/>
    <w:rsid w:val="00DE4E1E"/>
    <w:rsid w:val="00DE6786"/>
    <w:rsid w:val="00DF25EF"/>
    <w:rsid w:val="00DF3BFC"/>
    <w:rsid w:val="00E04126"/>
    <w:rsid w:val="00E06402"/>
    <w:rsid w:val="00E1167C"/>
    <w:rsid w:val="00E17268"/>
    <w:rsid w:val="00E222BC"/>
    <w:rsid w:val="00E2687F"/>
    <w:rsid w:val="00E30B9E"/>
    <w:rsid w:val="00E34DBA"/>
    <w:rsid w:val="00E350C2"/>
    <w:rsid w:val="00E438C0"/>
    <w:rsid w:val="00E570C1"/>
    <w:rsid w:val="00E6438D"/>
    <w:rsid w:val="00E74773"/>
    <w:rsid w:val="00E766F3"/>
    <w:rsid w:val="00E813BA"/>
    <w:rsid w:val="00E83604"/>
    <w:rsid w:val="00E84D36"/>
    <w:rsid w:val="00E85885"/>
    <w:rsid w:val="00E90CDB"/>
    <w:rsid w:val="00E93772"/>
    <w:rsid w:val="00E9799B"/>
    <w:rsid w:val="00EA13C5"/>
    <w:rsid w:val="00EA39B2"/>
    <w:rsid w:val="00EA3E68"/>
    <w:rsid w:val="00EB08A5"/>
    <w:rsid w:val="00EB6F5D"/>
    <w:rsid w:val="00EC0EE4"/>
    <w:rsid w:val="00EC1B29"/>
    <w:rsid w:val="00ED0465"/>
    <w:rsid w:val="00ED081D"/>
    <w:rsid w:val="00ED1E6C"/>
    <w:rsid w:val="00ED4D57"/>
    <w:rsid w:val="00ED533B"/>
    <w:rsid w:val="00ED5540"/>
    <w:rsid w:val="00EE0094"/>
    <w:rsid w:val="00EE17AD"/>
    <w:rsid w:val="00EE6775"/>
    <w:rsid w:val="00EE6BEF"/>
    <w:rsid w:val="00EF15E3"/>
    <w:rsid w:val="00EF6D2D"/>
    <w:rsid w:val="00F04501"/>
    <w:rsid w:val="00F12BE7"/>
    <w:rsid w:val="00F12F0C"/>
    <w:rsid w:val="00F17C5A"/>
    <w:rsid w:val="00F2018C"/>
    <w:rsid w:val="00F22351"/>
    <w:rsid w:val="00F27444"/>
    <w:rsid w:val="00F40170"/>
    <w:rsid w:val="00F477A5"/>
    <w:rsid w:val="00F50A12"/>
    <w:rsid w:val="00F50C60"/>
    <w:rsid w:val="00F5558C"/>
    <w:rsid w:val="00F55A60"/>
    <w:rsid w:val="00F56035"/>
    <w:rsid w:val="00F646AF"/>
    <w:rsid w:val="00F76A33"/>
    <w:rsid w:val="00F91F0E"/>
    <w:rsid w:val="00F96CEC"/>
    <w:rsid w:val="00FB007B"/>
    <w:rsid w:val="00FB5B76"/>
    <w:rsid w:val="00FB63E8"/>
    <w:rsid w:val="00FC1174"/>
    <w:rsid w:val="00FD2229"/>
    <w:rsid w:val="00FD35AB"/>
    <w:rsid w:val="00FD3ABF"/>
    <w:rsid w:val="00FD4E49"/>
    <w:rsid w:val="00FD4F2B"/>
    <w:rsid w:val="00FD75FE"/>
    <w:rsid w:val="00FE5AD8"/>
    <w:rsid w:val="00FF02A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22A57-CB13-49F3-A4DD-B408480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4F"/>
    <w:rPr>
      <w:color w:val="0000FF"/>
      <w:u w:val="single"/>
    </w:rPr>
  </w:style>
  <w:style w:type="paragraph" w:styleId="BalloonText">
    <w:name w:val="Balloon Text"/>
    <w:basedOn w:val="Normal"/>
    <w:semiHidden/>
    <w:rsid w:val="00A1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basedOn w:val="DefaultParagraphFont"/>
    <w:rsid w:val="008F0233"/>
  </w:style>
  <w:style w:type="character" w:customStyle="1" w:styleId="st">
    <w:name w:val="st"/>
    <w:basedOn w:val="DefaultParagraphFont"/>
    <w:rsid w:val="00E813BA"/>
  </w:style>
  <w:style w:type="character" w:styleId="Emphasis">
    <w:name w:val="Emphasis"/>
    <w:basedOn w:val="DefaultParagraphFont"/>
    <w:uiPriority w:val="20"/>
    <w:qFormat/>
    <w:rsid w:val="00E813BA"/>
    <w:rPr>
      <w:i/>
      <w:iCs/>
    </w:rPr>
  </w:style>
  <w:style w:type="paragraph" w:customStyle="1" w:styleId="Default">
    <w:name w:val="Default"/>
    <w:rsid w:val="00D75F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Година</vt:lpstr>
    </vt:vector>
  </TitlesOfParts>
  <Company>PU-NPD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Година</dc:title>
  <dc:creator>R1-asia3-362</dc:creator>
  <cp:lastModifiedBy>Илиана Саханджиева</cp:lastModifiedBy>
  <cp:revision>3</cp:revision>
  <cp:lastPrinted>2018-01-10T09:37:00Z</cp:lastPrinted>
  <dcterms:created xsi:type="dcterms:W3CDTF">2018-08-16T10:39:00Z</dcterms:created>
  <dcterms:modified xsi:type="dcterms:W3CDTF">2018-08-16T10:41:00Z</dcterms:modified>
</cp:coreProperties>
</file>